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2.png" ContentType="image/png"/>
  <Override PartName="/word/media/rId102.png" ContentType="image/png"/>
  <Override PartName="/word/media/rId54.png" ContentType="image/png"/>
  <Override PartName="/word/media/rId93.png" ContentType="image/png"/>
  <Override PartName="/word/media/rId142.png" ContentType="image/png"/>
  <Override PartName="/word/media/rId49.png" ContentType="image/png"/>
  <Override PartName="/word/media/rId45.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Diary</w:t>
      </w:r>
      <w:r>
        <w:t xml:space="preserve"> </w:t>
      </w:r>
      <w:r>
        <w:t xml:space="preserve">-</w:t>
      </w:r>
      <w:r>
        <w:t xml:space="preserve"> </w:t>
      </w:r>
      <w:r>
        <w:t xml:space="preserve">CASA0023</w:t>
      </w:r>
    </w:p>
    <w:p>
      <w:pPr>
        <w:pStyle w:val="Author"/>
      </w:pPr>
      <w:r>
        <w:t xml:space="preserve">Tongmeng</w:t>
      </w:r>
      <w:r>
        <w:t xml:space="preserve"> </w:t>
      </w:r>
      <w:r>
        <w:t xml:space="preserve">Xie</w:t>
      </w:r>
    </w:p>
    <w:p>
      <w:pPr>
        <w:pStyle w:val="Date"/>
      </w:pPr>
      <w:r>
        <w:t xml:space="preserve">2023/3/16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bookmarkEnd w:id="20"/>
    <w:bookmarkStart w:id="21" w:name="introduction"/>
    <w:p>
      <w:pPr>
        <w:pStyle w:val="Heading1"/>
      </w:pPr>
      <w:r>
        <w:t xml:space="preserve">Introduction</w:t>
      </w:r>
    </w:p>
    <w:p>
      <w:pPr>
        <w:pStyle w:val="FirstParagraph"/>
      </w:pPr>
      <w:r>
        <w:t xml:space="preserve">Welcome to my learning diary page of Remote Sensing Cities and Environment (CASA0023)! This diary is made for the content taught at 2022-2023.</w:t>
      </w:r>
    </w:p>
    <w:p>
      <w:pPr>
        <w:pStyle w:val="BodyText"/>
      </w:pPr>
      <w:r>
        <w:t xml:space="preserve">I’m a current Master of Science student at Bartlett Centre for Advanced Spatial Analysis</w:t>
      </w:r>
    </w:p>
    <w:bookmarkEnd w:id="21"/>
    <w:bookmarkStart w:id="35" w:name="week-1"/>
    <w:p>
      <w:pPr>
        <w:pStyle w:val="Heading1"/>
      </w:pPr>
      <w:r>
        <w:t xml:space="preserve">1. Week 1</w:t>
      </w:r>
    </w:p>
    <w:bookmarkStart w:id="26" w:name="summary"/>
    <w:p>
      <w:pPr>
        <w:pStyle w:val="Heading2"/>
      </w:pPr>
      <w:r>
        <w:t xml:space="preserve">1.1 Summary</w:t>
      </w:r>
    </w:p>
    <w:p>
      <w:pPr>
        <w:numPr>
          <w:ilvl w:val="0"/>
          <w:numId w:val="1001"/>
        </w:numPr>
        <w:pStyle w:val="Compact"/>
      </w:pPr>
      <w:r>
        <w:t xml:space="preserve">Data types in remote sensing:</w:t>
      </w:r>
    </w:p>
    <w:p>
      <w:pPr>
        <w:numPr>
          <w:ilvl w:val="1"/>
          <w:numId w:val="1002"/>
        </w:numPr>
        <w:pStyle w:val="Compact"/>
      </w:pPr>
      <w:r>
        <w:t xml:space="preserve">Passive data: Energy in electromagnetic form (e.g., human eyes)</w:t>
      </w:r>
    </w:p>
    <w:p>
      <w:pPr>
        <w:numPr>
          <w:ilvl w:val="1"/>
          <w:numId w:val="1002"/>
        </w:numPr>
        <w:pStyle w:val="Compact"/>
      </w:pPr>
      <w:r>
        <w:t xml:space="preserve">Active data: Energy in addition to illumination (e.g., radar)</w:t>
      </w:r>
    </w:p>
    <w:p>
      <w:pPr>
        <w:numPr>
          <w:ilvl w:val="0"/>
          <w:numId w:val="1001"/>
        </w:numPr>
        <w:pStyle w:val="Compact"/>
      </w:pPr>
      <w:r>
        <w:t xml:space="preserve">Interaction of EM waves with Earth’s surface and atmosphere:</w:t>
      </w:r>
    </w:p>
    <w:p>
      <w:pPr>
        <w:numPr>
          <w:ilvl w:val="1"/>
          <w:numId w:val="1003"/>
        </w:numPr>
        <w:pStyle w:val="Compact"/>
      </w:pPr>
      <w:r>
        <w:t xml:space="preserve">Single: This category refers to the interaction of EM waves with only one component of the Earth’s system, either the surface or the atmosphere. For example, when sunlight (an EM wave) directly reaches the Earth’s surface without interacting with the atmosphere, it is considered a single interaction. Similarly, if the EM wave only interacts with the atmosphere and does not reach the surface, it is also a single interaction. In remote sensing, single interactions are usually the most straightforward to analyze. The most straightforward to analyze.</w:t>
      </w:r>
    </w:p>
    <w:p>
      <w:pPr>
        <w:numPr>
          <w:ilvl w:val="1"/>
          <w:numId w:val="1003"/>
        </w:numPr>
        <w:pStyle w:val="Compact"/>
      </w:pPr>
      <w:r>
        <w:t xml:space="preserve">Dual: Dual interactions involve the EM waves interacting with both the Earth’s surface and atmosphere. In this case, the EM waves pass through the atmosphere, interact with the Earth’s surface, and then pass back through the atmosphere before reaching the sensor. This process results in changes to the EM waves, such as absorption or scattering, which can affect the quality and interpretation of the remote sensing data. apply atmospheric correction techniques to retrieve accurate information about the Earth’s surface.</w:t>
      </w:r>
    </w:p>
    <w:p>
      <w:pPr>
        <w:numPr>
          <w:ilvl w:val="1"/>
          <w:numId w:val="1003"/>
        </w:numPr>
        <w:pStyle w:val="Compact"/>
      </w:pPr>
      <w:r>
        <w:t xml:space="preserve">Quad: Quad interactions refer to EM waves interacting with multiple components of the Earth’s system, such as the surface, atmosphere, and other features (e.g., vegetation, water bodies). Involve various processes such as absorption, scattering, reflection, and transmission. Account for the unique characteristics and properties of each component involved, making the process more challenging.</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Interaction Type</w:t>
            </w:r>
          </w:p>
        </w:tc>
        <w:tc>
          <w:tcPr/>
          <w:p>
            <w:pPr>
              <w:pStyle w:val="Compact"/>
              <w:jc w:val="left"/>
            </w:pPr>
            <w:r>
              <w:t xml:space="preserve">Components of Earth</w:t>
            </w:r>
          </w:p>
        </w:tc>
        <w:tc>
          <w:tcPr/>
          <w:p>
            <w:pPr>
              <w:pStyle w:val="Compact"/>
              <w:jc w:val="left"/>
            </w:pPr>
            <w:r>
              <w:t xml:space="preserve">Processes Considered</w:t>
            </w:r>
          </w:p>
        </w:tc>
        <w:tc>
          <w:tcPr/>
          <w:p>
            <w:pPr>
              <w:pStyle w:val="Compact"/>
              <w:jc w:val="left"/>
            </w:pPr>
            <w:r>
              <w:t xml:space="preserve">Difficulty</w:t>
            </w:r>
          </w:p>
        </w:tc>
      </w:tr>
      <w:tr>
        <w:tc>
          <w:tcPr/>
          <w:p>
            <w:pPr>
              <w:pStyle w:val="Compact"/>
              <w:jc w:val="left"/>
            </w:pPr>
            <w:r>
              <w:t xml:space="preserve">Single</w:t>
            </w:r>
          </w:p>
        </w:tc>
        <w:tc>
          <w:tcPr/>
          <w:p>
            <w:pPr>
              <w:pStyle w:val="Compact"/>
              <w:jc w:val="left"/>
            </w:pPr>
            <w:r>
              <w:t xml:space="preserve">Surface OR Atmosphere</w:t>
            </w:r>
          </w:p>
        </w:tc>
        <w:tc>
          <w:tcPr/>
          <w:p>
            <w:pPr>
              <w:pStyle w:val="Compact"/>
              <w:jc w:val="left"/>
            </w:pPr>
            <w:r>
              <w:t xml:space="preserve">Direct interaction with one component</w:t>
            </w:r>
          </w:p>
        </w:tc>
        <w:tc>
          <w:tcPr/>
          <w:p>
            <w:pPr>
              <w:pStyle w:val="Compact"/>
              <w:jc w:val="left"/>
            </w:pPr>
            <w:r>
              <w:t xml:space="preserve">Most straightforward to analyze</w:t>
            </w:r>
          </w:p>
        </w:tc>
      </w:tr>
      <w:tr>
        <w:tc>
          <w:tcPr/>
          <w:p>
            <w:pPr>
              <w:pStyle w:val="Compact"/>
              <w:jc w:val="left"/>
            </w:pPr>
            <w:r>
              <w:t xml:space="preserve">Dual</w:t>
            </w:r>
          </w:p>
        </w:tc>
        <w:tc>
          <w:tcPr/>
          <w:p>
            <w:pPr>
              <w:pStyle w:val="Compact"/>
              <w:jc w:val="left"/>
            </w:pPr>
            <w:r>
              <w:t xml:space="preserve">Surface AND Atmosphere</w:t>
            </w:r>
          </w:p>
        </w:tc>
        <w:tc>
          <w:tcPr/>
          <w:p>
            <w:pPr>
              <w:pStyle w:val="Compact"/>
              <w:jc w:val="left"/>
            </w:pPr>
            <w:r>
              <w:t xml:space="preserve">Absorption, scattering</w:t>
            </w:r>
          </w:p>
        </w:tc>
        <w:tc>
          <w:tcPr/>
          <w:p>
            <w:pPr>
              <w:pStyle w:val="Compact"/>
              <w:jc w:val="left"/>
            </w:pPr>
            <w:r>
              <w:t xml:space="preserve">Requires atmospheric correction for accurate results</w:t>
            </w:r>
          </w:p>
        </w:tc>
      </w:tr>
      <w:tr>
        <w:tc>
          <w:tcPr/>
          <w:p>
            <w:pPr>
              <w:pStyle w:val="Compact"/>
              <w:jc w:val="left"/>
            </w:pPr>
            <w:r>
              <w:t xml:space="preserve">Quad</w:t>
            </w:r>
          </w:p>
        </w:tc>
        <w:tc>
          <w:tcPr/>
          <w:p>
            <w:pPr>
              <w:pStyle w:val="Compact"/>
              <w:jc w:val="left"/>
            </w:pPr>
            <w:r>
              <w:t xml:space="preserve">Surface, Atmosphere, Features</w:t>
            </w:r>
          </w:p>
        </w:tc>
        <w:tc>
          <w:tcPr/>
          <w:p>
            <w:pPr>
              <w:pStyle w:val="Compact"/>
              <w:jc w:val="left"/>
            </w:pPr>
            <w:r>
              <w:t xml:space="preserve">Absorption, scattering, reflection, transmission</w:t>
            </w:r>
          </w:p>
        </w:tc>
        <w:tc>
          <w:tcPr/>
          <w:p>
            <w:pPr>
              <w:pStyle w:val="Compact"/>
              <w:jc w:val="left"/>
            </w:pPr>
            <w:r>
              <w:t xml:space="preserve">More challenging due to multiple components involved</w:t>
            </w:r>
          </w:p>
        </w:tc>
      </w:tr>
    </w:tbl>
    <w:bookmarkStart w:id="22" w:name="remote-sensing-data-formats"/>
    <w:p>
      <w:pPr>
        <w:pStyle w:val="Heading3"/>
      </w:pPr>
      <w:r>
        <w:t xml:space="preserve">1.1.1</w:t>
      </w:r>
      <w:r>
        <w:t xml:space="preserve"> </w:t>
      </w:r>
      <w:r>
        <w:rPr>
          <w:bCs/>
          <w:b/>
        </w:rPr>
        <w:t xml:space="preserve">Remote Sensing Data Formats</w:t>
      </w:r>
    </w:p>
    <w:p>
      <w:pPr>
        <w:numPr>
          <w:ilvl w:val="0"/>
          <w:numId w:val="1004"/>
        </w:numPr>
        <w:pStyle w:val="Compact"/>
      </w:pPr>
      <w:r>
        <w:t xml:space="preserve">Raster formats:</w:t>
      </w:r>
    </w:p>
    <w:p>
      <w:pPr>
        <w:numPr>
          <w:ilvl w:val="1"/>
          <w:numId w:val="1005"/>
        </w:numPr>
        <w:pStyle w:val="Compact"/>
      </w:pPr>
      <w:r>
        <w:t xml:space="preserve">BIL</w:t>
      </w:r>
    </w:p>
    <w:p>
      <w:pPr>
        <w:numPr>
          <w:ilvl w:val="1"/>
          <w:numId w:val="1005"/>
        </w:numPr>
        <w:pStyle w:val="Compact"/>
      </w:pPr>
      <w:r>
        <w:t xml:space="preserve">BSQ</w:t>
      </w:r>
    </w:p>
    <w:p>
      <w:pPr>
        <w:numPr>
          <w:ilvl w:val="1"/>
          <w:numId w:val="1005"/>
        </w:numPr>
        <w:pStyle w:val="Compact"/>
      </w:pPr>
      <w:r>
        <w:t xml:space="preserve">BIP</w:t>
      </w:r>
    </w:p>
    <w:p>
      <w:pPr>
        <w:numPr>
          <w:ilvl w:val="1"/>
          <w:numId w:val="1005"/>
        </w:numPr>
        <w:pStyle w:val="Compact"/>
      </w:pPr>
      <w:r>
        <w:t xml:space="preserve">GeoTIFF</w:t>
      </w:r>
    </w:p>
    <w:bookmarkEnd w:id="22"/>
    <w:bookmarkStart w:id="23" w:name="four-resolutions-in-remote-sensing"/>
    <w:p>
      <w:pPr>
        <w:pStyle w:val="Heading3"/>
      </w:pPr>
      <w:r>
        <w:t xml:space="preserve">1.1.2</w:t>
      </w:r>
      <w:r>
        <w:t xml:space="preserve"> </w:t>
      </w:r>
      <w:r>
        <w:rPr>
          <w:bCs/>
          <w:b/>
        </w:rPr>
        <w:t xml:space="preserve">Four Resolutions in Remote Sensing</w:t>
      </w:r>
    </w:p>
    <w:p>
      <w:pPr>
        <w:numPr>
          <w:ilvl w:val="0"/>
          <w:numId w:val="1006"/>
        </w:numPr>
        <w:pStyle w:val="Compact"/>
      </w:pPr>
      <w:r>
        <w:t xml:space="preserve">Spatial resolution:</w:t>
      </w:r>
    </w:p>
    <w:p>
      <w:pPr>
        <w:numPr>
          <w:ilvl w:val="1"/>
          <w:numId w:val="1007"/>
        </w:numPr>
        <w:pStyle w:val="Compact"/>
      </w:pPr>
      <w:r>
        <w:t xml:space="preserve">Ranges from 10 cm to several kilometers</w:t>
      </w:r>
    </w:p>
    <w:p>
      <w:pPr>
        <w:numPr>
          <w:ilvl w:val="0"/>
          <w:numId w:val="1006"/>
        </w:numPr>
        <w:pStyle w:val="Compact"/>
      </w:pPr>
      <w:r>
        <w:t xml:space="preserve">Spectral resolution:</w:t>
      </w:r>
    </w:p>
    <w:p>
      <w:pPr>
        <w:numPr>
          <w:ilvl w:val="1"/>
          <w:numId w:val="1008"/>
        </w:numPr>
        <w:pStyle w:val="Compact"/>
      </w:pPr>
      <w:r>
        <w:t xml:space="preserve">Number of different spectral bands captured</w:t>
      </w:r>
    </w:p>
    <w:p>
      <w:pPr>
        <w:numPr>
          <w:ilvl w:val="1"/>
          <w:numId w:val="1008"/>
        </w:numPr>
        <w:pStyle w:val="Compact"/>
      </w:pPr>
      <w:r>
        <w:t xml:space="preserve">Unique spectral signatures for each feature on Earth</w:t>
      </w:r>
    </w:p>
    <w:p>
      <w:pPr>
        <w:numPr>
          <w:ilvl w:val="1"/>
          <w:numId w:val="1008"/>
        </w:numPr>
        <w:pStyle w:val="Compact"/>
      </w:pPr>
      <w:r>
        <w:t xml:space="preserve">Atmospheric windows</w:t>
      </w:r>
    </w:p>
    <w:p>
      <w:pPr>
        <w:numPr>
          <w:ilvl w:val="1"/>
          <w:numId w:val="1008"/>
        </w:numPr>
        <w:pStyle w:val="Compact"/>
      </w:pPr>
      <w:r>
        <w:t xml:space="preserve">Vegetation: Red edge - infrared bands</w:t>
      </w:r>
    </w:p>
    <w:p>
      <w:pPr>
        <w:numPr>
          <w:ilvl w:val="2"/>
          <w:numId w:val="1009"/>
        </w:numPr>
        <w:pStyle w:val="Compact"/>
      </w:pPr>
      <w:r>
        <w:t xml:space="preserve">Application: Analyze infrared bands in cities to identify access to vegetation</w:t>
      </w:r>
    </w:p>
    <w:p>
      <w:pPr>
        <w:numPr>
          <w:ilvl w:val="0"/>
          <w:numId w:val="1006"/>
        </w:numPr>
        <w:pStyle w:val="Compact"/>
      </w:pPr>
      <w:r>
        <w:t xml:space="preserve">Radiometric resolution:</w:t>
      </w:r>
    </w:p>
    <w:p>
      <w:pPr>
        <w:numPr>
          <w:ilvl w:val="1"/>
          <w:numId w:val="1010"/>
        </w:numPr>
        <w:pStyle w:val="Compact"/>
      </w:pPr>
      <w:r>
        <w:t xml:space="preserve">Resolution of a cell’s value</w:t>
      </w:r>
    </w:p>
    <w:p>
      <w:pPr>
        <w:numPr>
          <w:ilvl w:val="0"/>
          <w:numId w:val="1006"/>
        </w:numPr>
        <w:pStyle w:val="Compact"/>
      </w:pPr>
      <w:r>
        <w:t xml:space="preserve">Temporal resolution:</w:t>
      </w:r>
    </w:p>
    <w:p>
      <w:pPr>
        <w:numPr>
          <w:ilvl w:val="1"/>
          <w:numId w:val="1011"/>
        </w:numPr>
        <w:pStyle w:val="Compact"/>
      </w:pPr>
      <w:r>
        <w:t xml:space="preserve">Usually inversely related to pixel size (spatial resolution)</w:t>
      </w:r>
    </w:p>
    <w:p>
      <w:pPr>
        <w:numPr>
          <w:ilvl w:val="0"/>
          <w:numId w:val="1012"/>
        </w:numPr>
        <w:pStyle w:val="Compact"/>
      </w:pPr>
      <w:r>
        <w:t xml:space="preserve">Example satellite sensor: MODIS</w:t>
      </w:r>
    </w:p>
    <w:bookmarkEnd w:id="23"/>
    <w:bookmarkStart w:id="25" w:name="bands-explained"/>
    <w:p>
      <w:pPr>
        <w:pStyle w:val="Heading3"/>
      </w:pPr>
      <w:r>
        <w:t xml:space="preserve">1.1.3</w:t>
      </w:r>
      <w:r>
        <w:t xml:space="preserve"> </w:t>
      </w:r>
      <w:r>
        <w:rPr>
          <w:bCs/>
          <w:b/>
        </w:rPr>
        <w:t xml:space="preserve">Bands Explained</w:t>
      </w:r>
    </w:p>
    <w:p>
      <w:pPr>
        <w:numPr>
          <w:ilvl w:val="0"/>
          <w:numId w:val="1013"/>
        </w:numPr>
        <w:pStyle w:val="Compact"/>
      </w:pPr>
      <w:r>
        <w:t xml:space="preserve">In remote sensing, bands refer to the specific ranges of wavelengths captured by a sensor.</w:t>
      </w:r>
    </w:p>
    <w:p>
      <w:pPr>
        <w:numPr>
          <w:ilvl w:val="0"/>
          <w:numId w:val="1013"/>
        </w:numPr>
        <w:pStyle w:val="Compact"/>
      </w:pPr>
      <w:r>
        <w:t xml:space="preserve">Each band captures information about different features on Earth’s surface.</w:t>
      </w:r>
    </w:p>
    <w:p>
      <w:pPr>
        <w:numPr>
          <w:ilvl w:val="0"/>
          <w:numId w:val="1013"/>
        </w:numPr>
        <w:pStyle w:val="Compact"/>
      </w:pPr>
      <w:r>
        <w:t xml:space="preserve">Understanding the properties of each band helps in the interpretation and analysis of remote sensing data.</w:t>
      </w:r>
    </w:p>
    <w:p>
      <w:pPr>
        <w:pStyle w:val="FirstParagraph"/>
      </w:pPr>
      <w:hyperlink r:id="rId24"/>
    </w:p>
    <w:bookmarkEnd w:id="25"/>
    <w:bookmarkEnd w:id="26"/>
    <w:bookmarkStart w:id="32" w:name="application"/>
    <w:p>
      <w:pPr>
        <w:pStyle w:val="Heading2"/>
      </w:pPr>
      <w:r>
        <w:t xml:space="preserve">1.2 Application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 of Wave</w:t>
            </w:r>
          </w:p>
        </w:tc>
        <w:tc>
          <w:tcPr/>
          <w:p>
            <w:pPr>
              <w:pStyle w:val="Compact"/>
              <w:jc w:val="left"/>
            </w:pPr>
            <w:r>
              <w:t xml:space="preserve">Wavelength Range</w:t>
            </w:r>
          </w:p>
        </w:tc>
        <w:tc>
          <w:tcPr/>
          <w:p>
            <w:pPr>
              <w:pStyle w:val="Compact"/>
              <w:jc w:val="left"/>
            </w:pPr>
            <w:r>
              <w:t xml:space="preserve">Frequency Range</w:t>
            </w:r>
          </w:p>
        </w:tc>
        <w:tc>
          <w:tcPr/>
          <w:p>
            <w:pPr>
              <w:pStyle w:val="Compact"/>
              <w:jc w:val="left"/>
            </w:pPr>
            <w:r>
              <w:t xml:space="preserve">Example Applications</w:t>
            </w:r>
          </w:p>
        </w:tc>
      </w:tr>
      <w:tr>
        <w:tc>
          <w:tcPr/>
          <w:p>
            <w:pPr>
              <w:pStyle w:val="Compact"/>
              <w:jc w:val="left"/>
            </w:pPr>
            <w:r>
              <w:t xml:space="preserve">Radio Waves</w:t>
            </w:r>
          </w:p>
        </w:tc>
        <w:tc>
          <w:tcPr/>
          <w:p>
            <w:pPr>
              <w:pStyle w:val="Compact"/>
              <w:jc w:val="left"/>
            </w:pPr>
            <w:r>
              <w:t xml:space="preserve">&gt;1mm</w:t>
            </w:r>
          </w:p>
        </w:tc>
        <w:tc>
          <w:tcPr/>
          <w:p>
            <w:pPr>
              <w:pStyle w:val="Compact"/>
              <w:jc w:val="left"/>
            </w:pPr>
            <w:r>
              <w:t xml:space="preserve">&lt;300 GHz</w:t>
            </w:r>
          </w:p>
        </w:tc>
        <w:tc>
          <w:tcPr/>
          <w:p>
            <w:pPr>
              <w:pStyle w:val="Compact"/>
              <w:jc w:val="left"/>
            </w:pPr>
            <w:r>
              <w:t xml:space="preserve">Broadcasting, communication, radar</w:t>
            </w:r>
          </w:p>
        </w:tc>
      </w:tr>
      <w:tr>
        <w:tc>
          <w:tcPr/>
          <w:p>
            <w:pPr>
              <w:pStyle w:val="Compact"/>
              <w:jc w:val="left"/>
            </w:pPr>
            <w:r>
              <w:t xml:space="preserve">Microwaves</w:t>
            </w:r>
          </w:p>
        </w:tc>
        <w:tc>
          <w:tcPr/>
          <w:p>
            <w:pPr>
              <w:pStyle w:val="Compact"/>
              <w:jc w:val="left"/>
            </w:pPr>
            <w:r>
              <w:t xml:space="preserve">1mm - 1m</w:t>
            </w:r>
          </w:p>
        </w:tc>
        <w:tc>
          <w:tcPr/>
          <w:p>
            <w:pPr>
              <w:pStyle w:val="Compact"/>
              <w:jc w:val="left"/>
            </w:pPr>
            <w:r>
              <w:t xml:space="preserve">300 MHz - 300 GHz</w:t>
            </w:r>
          </w:p>
        </w:tc>
        <w:tc>
          <w:tcPr/>
          <w:p>
            <w:pPr>
              <w:pStyle w:val="Compact"/>
              <w:jc w:val="left"/>
            </w:pPr>
            <w:r>
              <w:t xml:space="preserve">Cooking, communication, radar</w:t>
            </w:r>
          </w:p>
        </w:tc>
      </w:tr>
      <w:tr>
        <w:tc>
          <w:tcPr/>
          <w:p>
            <w:pPr>
              <w:pStyle w:val="Compact"/>
              <w:jc w:val="left"/>
            </w:pPr>
            <w:r>
              <w:t xml:space="preserve">Infrared Waves</w:t>
            </w:r>
          </w:p>
        </w:tc>
        <w:tc>
          <w:tcPr/>
          <w:p>
            <w:pPr>
              <w:pStyle w:val="Compact"/>
              <w:jc w:val="left"/>
            </w:pPr>
            <w:r>
              <w:t xml:space="preserve">700 nm - 1 mm</w:t>
            </w:r>
          </w:p>
        </w:tc>
        <w:tc>
          <w:tcPr/>
          <w:p>
            <w:pPr>
              <w:pStyle w:val="Compact"/>
              <w:jc w:val="left"/>
            </w:pPr>
            <w:r>
              <w:t xml:space="preserve">300 GHz - 430 THz</w:t>
            </w:r>
          </w:p>
        </w:tc>
        <w:tc>
          <w:tcPr/>
          <w:p>
            <w:pPr>
              <w:pStyle w:val="Compact"/>
              <w:jc w:val="left"/>
            </w:pPr>
            <w:r>
              <w:t xml:space="preserve">Thermal imaging, remote controls</w:t>
            </w:r>
          </w:p>
        </w:tc>
      </w:tr>
      <w:tr>
        <w:tc>
          <w:tcPr/>
          <w:p>
            <w:pPr>
              <w:pStyle w:val="Compact"/>
              <w:jc w:val="left"/>
            </w:pPr>
            <w:r>
              <w:t xml:space="preserve">Visible Light</w:t>
            </w:r>
          </w:p>
        </w:tc>
        <w:tc>
          <w:tcPr/>
          <w:p>
            <w:pPr>
              <w:pStyle w:val="Compact"/>
              <w:jc w:val="left"/>
            </w:pPr>
            <w:r>
              <w:t xml:space="preserve">400 nm - 700 nm</w:t>
            </w:r>
          </w:p>
        </w:tc>
        <w:tc>
          <w:tcPr/>
          <w:p>
            <w:pPr>
              <w:pStyle w:val="Compact"/>
              <w:jc w:val="left"/>
            </w:pPr>
            <w:r>
              <w:t xml:space="preserve">430 THz - 750 THz</w:t>
            </w:r>
          </w:p>
        </w:tc>
        <w:tc>
          <w:tcPr/>
          <w:p>
            <w:pPr>
              <w:pStyle w:val="Compact"/>
              <w:jc w:val="left"/>
            </w:pPr>
            <w:r>
              <w:t xml:space="preserve">Human vision, photography</w:t>
            </w:r>
          </w:p>
        </w:tc>
      </w:tr>
      <w:tr>
        <w:tc>
          <w:tcPr/>
          <w:p>
            <w:pPr>
              <w:pStyle w:val="Compact"/>
              <w:jc w:val="left"/>
            </w:pPr>
            <w:r>
              <w:t xml:space="preserve">Ultraviolet Waves</w:t>
            </w:r>
          </w:p>
        </w:tc>
        <w:tc>
          <w:tcPr/>
          <w:p>
            <w:pPr>
              <w:pStyle w:val="Compact"/>
              <w:jc w:val="left"/>
            </w:pPr>
            <w:r>
              <w:t xml:space="preserve">10 nm - 400 nm</w:t>
            </w:r>
          </w:p>
        </w:tc>
        <w:tc>
          <w:tcPr/>
          <w:p>
            <w:pPr>
              <w:pStyle w:val="Compact"/>
              <w:jc w:val="left"/>
            </w:pPr>
            <w:r>
              <w:t xml:space="preserve">750 THz -30 PHz</w:t>
            </w:r>
          </w:p>
        </w:tc>
        <w:tc>
          <w:tcPr/>
          <w:p>
            <w:pPr>
              <w:pStyle w:val="Compact"/>
              <w:jc w:val="left"/>
            </w:pPr>
            <w:r>
              <w:t xml:space="preserve">Sterilization, fluorescence microscopy</w:t>
            </w:r>
          </w:p>
        </w:tc>
      </w:tr>
      <w:tr>
        <w:tc>
          <w:tcPr/>
          <w:p>
            <w:pPr>
              <w:pStyle w:val="Compact"/>
              <w:jc w:val="left"/>
            </w:pPr>
            <w:r>
              <w:t xml:space="preserve">X-Rays</w:t>
            </w:r>
          </w:p>
        </w:tc>
        <w:tc>
          <w:tcPr/>
          <w:p>
            <w:pPr>
              <w:pStyle w:val="Compact"/>
              <w:jc w:val="left"/>
            </w:pPr>
            <w:r>
              <w:t xml:space="preserve">&lt;10 nm</w:t>
            </w:r>
          </w:p>
        </w:tc>
        <w:tc>
          <w:tcPr/>
          <w:p>
            <w:pPr>
              <w:pStyle w:val="Compact"/>
              <w:jc w:val="left"/>
            </w:pPr>
            <w:r>
              <w:t xml:space="preserve">&gt;30 PHz</w:t>
            </w:r>
          </w:p>
        </w:tc>
        <w:tc>
          <w:tcPr/>
          <w:p>
            <w:pPr>
              <w:pStyle w:val="Compact"/>
              <w:jc w:val="left"/>
            </w:pPr>
            <w:r>
              <w:t xml:space="preserve">Medical imaging, airport security</w:t>
            </w:r>
          </w:p>
        </w:tc>
      </w:tr>
      <w:tr>
        <w:tc>
          <w:tcPr/>
          <w:p>
            <w:pPr>
              <w:pStyle w:val="Compact"/>
              <w:jc w:val="left"/>
            </w:pPr>
            <w:r>
              <w:t xml:space="preserve">Gamma Rays</w:t>
            </w:r>
          </w:p>
        </w:tc>
        <w:tc>
          <w:tcPr/>
          <w:p>
            <w:pPr>
              <w:pStyle w:val="Compact"/>
              <w:jc w:val="left"/>
            </w:pPr>
            <w:r>
              <w:t xml:space="preserve">&lt;0.01 nm</w:t>
            </w:r>
          </w:p>
        </w:tc>
        <w:tc>
          <w:tcPr/>
          <w:p>
            <w:pPr>
              <w:pStyle w:val="Compact"/>
              <w:jc w:val="left"/>
            </w:pPr>
            <w:r>
              <w:t xml:space="preserve">&gt;30 EHz</w:t>
            </w:r>
          </w:p>
        </w:tc>
        <w:tc>
          <w:tcPr/>
          <w:p>
            <w:pPr>
              <w:pStyle w:val="Compact"/>
              <w:jc w:val="left"/>
            </w:pPr>
            <w:r>
              <w:t xml:space="preserve">Cancer treatment, nuclear medicine</w:t>
            </w:r>
          </w:p>
        </w:tc>
      </w:tr>
    </w:tbl>
    <w:p>
      <w:pPr>
        <w:pStyle w:val="BodyText"/>
      </w:pPr>
      <w:r>
        <w:t xml:space="preserve">Start</w:t>
      </w:r>
      <w:r>
        <w:t xml:space="preserve"> </w:t>
      </w:r>
      <w:r>
        <w:t xml:space="preserve">|</w:t>
      </w:r>
      <w:r>
        <w:t xml:space="preserve"> </w:t>
      </w:r>
      <w:r>
        <w:t xml:space="preserve">V</w:t>
      </w:r>
      <w:r>
        <w:t xml:space="preserve"> </w:t>
      </w:r>
      <w:r>
        <w:t xml:space="preserve">Generate electromagnetic waves</w:t>
      </w:r>
      <w:r>
        <w:t xml:space="preserve"> </w:t>
      </w:r>
      <w:r>
        <w:t xml:space="preserve">|</w:t>
      </w:r>
      <w:r>
        <w:t xml:space="preserve"> </w:t>
      </w:r>
      <w:r>
        <w:t xml:space="preserve">V</w:t>
      </w:r>
      <w:r>
        <w:t xml:space="preserve"> </w:t>
      </w:r>
      <w:r>
        <w:t xml:space="preserve">Determine frequency, wavelength, or energy</w:t>
      </w:r>
      <w:r>
        <w:t xml:space="preserve"> </w:t>
      </w:r>
      <w:r>
        <w:t xml:space="preserve">|</w:t>
      </w:r>
      <w:r>
        <w:t xml:space="preserve"> </w:t>
      </w:r>
      <w:r>
        <w:t xml:space="preserve">V</w:t>
      </w:r>
      <w:r>
        <w:t xml:space="preserve"> </w:t>
      </w:r>
      <w:r>
        <w:t xml:space="preserve">Classify waves into types (radio, microwave, infrared, visible light, ultraviolet, X-rays, gamma rays)</w:t>
      </w:r>
      <w:r>
        <w:t xml:space="preserve"> </w:t>
      </w:r>
      <w:r>
        <w:t xml:space="preserve">|</w:t>
      </w:r>
      <w:r>
        <w:t xml:space="preserve"> </w:t>
      </w:r>
      <w:r>
        <w:t xml:space="preserve">V</w:t>
      </w:r>
      <w:r>
        <w:t xml:space="preserve"> </w:t>
      </w:r>
      <w:r>
        <w:t xml:space="preserve">Identify applications for each type of wave (broadcasting, communication, cooking, thermal imaging, human vision, medical imaging)</w:t>
      </w:r>
      <w:r>
        <w:t xml:space="preserve"> </w:t>
      </w:r>
      <w:r>
        <w:t xml:space="preserve">|</w:t>
      </w:r>
      <w:r>
        <w:t xml:space="preserve"> </w:t>
      </w:r>
      <w:r>
        <w:t xml:space="preserve">V</w:t>
      </w:r>
      <w:r>
        <w:t xml:space="preserve"> </w:t>
      </w:r>
      <w:r>
        <w:t xml:space="preserve">End</w:t>
      </w:r>
    </w:p>
    <w:bookmarkStart w:id="31" w:name="practical"/>
    <w:p>
      <w:pPr>
        <w:pStyle w:val="Heading3"/>
      </w:pPr>
      <w:r>
        <w:t xml:space="preserve">1.2.1 Practical</w:t>
      </w:r>
    </w:p>
    <w:tbl>
      <w:tblPr>
        <w:tblStyle w:val="Table"/>
        <w:tblW w:type="pct" w:w="5000"/>
        <w:tblLook w:firstRow="0" w:lastRow="0" w:firstColumn="0" w:lastColumn="0" w:noHBand="0" w:noVBand="0" w:val="0000"/>
      </w:tblPr>
      <w:tblGrid>
        <w:gridCol w:w="7920"/>
      </w:tblGrid>
      <w:tr>
        <w:tc>
          <w:tcPr/>
          <w:bookmarkStart w:id="30" w:name="fig-vege"/>
          <w:p>
            <w:pPr>
              <w:pStyle w:val="Figure"/>
              <w:jc w:val="center"/>
            </w:pPr>
            <w:r>
              <w:drawing>
                <wp:inline>
                  <wp:extent cx="5334000" cy="2507334"/>
                  <wp:effectExtent b="0" l="0" r="0" t="0"/>
                  <wp:docPr descr="" title="" id="28" name="Picture"/>
                  <a:graphic>
                    <a:graphicData uri="http://schemas.openxmlformats.org/drawingml/2006/picture">
                      <pic:pic>
                        <pic:nvPicPr>
                          <pic:cNvPr descr="./images/spectral_feature_space_vege_B04_B08.png" id="29" name="Picture"/>
                          <pic:cNvPicPr>
                            <a:picLocks noChangeArrowheads="1" noChangeAspect="1"/>
                          </pic:cNvPicPr>
                        </pic:nvPicPr>
                        <pic:blipFill>
                          <a:blip r:embed="rId27"/>
                          <a:stretch>
                            <a:fillRect/>
                          </a:stretch>
                        </pic:blipFill>
                        <pic:spPr bwMode="auto">
                          <a:xfrm>
                            <a:off x="0" y="0"/>
                            <a:ext cx="5334000" cy="25073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Spectral Feature Space, Vegetation On Bands B04 and B08</w:t>
            </w:r>
          </w:p>
          <w:bookmarkEnd w:id="30"/>
        </w:tc>
      </w:tr>
    </w:tbl>
    <w:bookmarkEnd w:id="31"/>
    <w:bookmarkEnd w:id="32"/>
    <w:bookmarkStart w:id="33" w:name="application-1"/>
    <w:p>
      <w:pPr>
        <w:pStyle w:val="Heading2"/>
      </w:pPr>
      <w:r>
        <w:t xml:space="preserve">1.3 Application:</w:t>
      </w:r>
    </w:p>
    <w:p>
      <w:pPr>
        <w:pStyle w:val="FirstParagraph"/>
      </w:pPr>
      <w:r>
        <w:t xml:space="preserve">“</w:t>
      </w:r>
      <w:r>
        <w:t xml:space="preserve">Spectral Feature Space, Vegetation On Bands B04 and B08</w:t>
      </w:r>
      <w:r>
        <w:t xml:space="preserve">”</w:t>
      </w:r>
    </w:p>
    <w:p>
      <w:pPr>
        <w:pStyle w:val="BodyText"/>
      </w:pPr>
      <w:r>
        <w:t xml:space="preserve">One of the applications really attracted me was the spatial signature of vegetation on the terra, as we could assign features to each end of the spatial signature area see</w:t>
      </w:r>
      <w:r>
        <w:t xml:space="preserve"> </w:t>
      </w:r>
      <w:hyperlink w:anchor="fig-vege">
        <w:r>
          <w:rPr>
            <w:rStyle w:val="Hyperlink"/>
          </w:rPr>
          <w:t xml:space="preserve">Figure 1.1</w:t>
        </w:r>
      </w:hyperlink>
      <w:r>
        <w:t xml:space="preserve">, such as bare land on the right end of the triangle-like area where red light captured are dense while near-infrared level is low. Heavy vegetation are witnessed at the upper end of the triangle-like area where red light low and near-infrared is high, indicating heavy biomass. As for the left-down corner where both red and near-infrared are low, we can identify wet lands. This is integrated in the NDVI (Normalized Difference Vegetation Index) to estimate vegetation cover.</w:t>
      </w:r>
    </w:p>
    <w:p>
      <w:pPr>
        <w:pStyle w:val="BodyText"/>
      </w:pPr>
      <w:r>
        <w:t xml:space="preserve">Spatial signatures can also be used to monitor the health of vegetation by identifying patterns of quavariation in spectral reflectance that are indicative of stress or disease. For example, vegetation that is stressed or diseased may have a different spectral reflectance signature than healthy vegetation, which can be identified using spatial signatures.</w:t>
      </w:r>
    </w:p>
    <w:p>
      <w:pPr>
        <w:pStyle w:val="BodyText"/>
      </w:pPr>
      <w:r>
        <w:t xml:space="preserve">In addition, spatial signatures can be used to monitor the growth and distribution of vegetation over time by comparing satellite imagery from different dates. This can be useful for understanding the impacts of land use changes, climate change, and other factors on vegetation.</w:t>
      </w:r>
    </w:p>
    <w:p>
      <w:pPr>
        <w:pStyle w:val="BodyText"/>
      </w:pPr>
      <w:r>
        <w:t xml:space="preserve">Overall, spatial signatures are a powerful tool for vegetation monitoring, as they can be used to identify and classify different types of vegetation, monitor vegetation health, and track vegetation changes over time.</w:t>
      </w:r>
    </w:p>
    <w:bookmarkEnd w:id="33"/>
    <w:bookmarkStart w:id="34" w:name="reflection"/>
    <w:p>
      <w:pPr>
        <w:pStyle w:val="Heading2"/>
      </w:pPr>
      <w:r>
        <w:t xml:space="preserve">1.4 Reflection</w:t>
      </w:r>
    </w:p>
    <w:p>
      <w:pPr>
        <w:pStyle w:val="FirstParagraph"/>
      </w:pPr>
      <w:r>
        <w:t xml:space="preserve">just state what interest you and why, as well as the application. Application: Context matters. Why useful? What had it assisted achieving. Mind map of concepts, to show understanding of data and workflow</w:t>
      </w:r>
    </w:p>
    <w:p>
      <w:pPr>
        <w:pStyle w:val="BodyText"/>
      </w:pPr>
      <w:r>
        <w:t xml:space="preserve">One of the challenges I encountered is to navigate the complexities of the interface of SNAP and QGIS. It becomes clear to me that yes implementing several functions in code can be challenging, but a software with collective functions as a whole can be mindblowing even when with decent GUIs. Specifically, finding which function falling under which menu consumes a lot of time, and figuring out filling parameters to carry the analysis also took some efforts of iterative validation.</w:t>
      </w:r>
    </w:p>
    <w:p>
      <w:pPr>
        <w:pStyle w:val="BodyText"/>
      </w:pPr>
      <w:r>
        <w:t xml:space="preserve">When doing the operation in R on a script level, it becomes confusing where I put the data</w:t>
      </w:r>
    </w:p>
    <w:bookmarkEnd w:id="34"/>
    <w:bookmarkEnd w:id="35"/>
    <w:bookmarkStart w:id="36" w:name="week-2---portfolio"/>
    <w:p>
      <w:pPr>
        <w:pStyle w:val="Heading1"/>
      </w:pPr>
      <w:r>
        <w:t xml:space="preserve">2. Week 2 - Portfolio</w:t>
      </w:r>
    </w:p>
    <w:bookmarkEnd w:id="36"/>
    <w:bookmarkStart w:id="61" w:name="week-3---remote-sensing-data"/>
    <w:p>
      <w:pPr>
        <w:pStyle w:val="Heading1"/>
      </w:pPr>
      <w:r>
        <w:t xml:space="preserve">3. Week 3 - Remote sensing data</w:t>
      </w:r>
    </w:p>
    <w:p>
      <w:pPr>
        <w:pStyle w:val="FirstParagraph"/>
      </w:pPr>
      <w:r>
        <w:t xml:space="preserve">In this week’s learning diary, we try to handle</w:t>
      </w:r>
    </w:p>
    <w:bookmarkStart w:id="44" w:name="summary-1"/>
    <w:p>
      <w:pPr>
        <w:pStyle w:val="Heading2"/>
      </w:pPr>
      <w:r>
        <w:t xml:space="preserve">3.1 Summary:</w:t>
      </w:r>
    </w:p>
    <w:bookmarkStart w:id="37" w:name="different-sensors"/>
    <w:p>
      <w:pPr>
        <w:pStyle w:val="Heading3"/>
      </w:pPr>
      <w:r>
        <w:t xml:space="preserve">3.1.1 Different Sensors</w:t>
      </w:r>
    </w:p>
    <w:p>
      <w:pPr>
        <w:pStyle w:val="FirstParagraph"/>
      </w:pPr>
      <w:r>
        <w:t xml:space="preserve">Across track scanners: Mirror reflects light onto 1 detector. For example,</w:t>
      </w:r>
      <w:r>
        <w:t xml:space="preserve"> </w:t>
      </w:r>
      <w:r>
        <w:rPr>
          <w:u w:val="single"/>
        </w:rPr>
        <w:t xml:space="preserve">Landsat</w:t>
      </w:r>
      <w:r>
        <w:t xml:space="preserve"> </w:t>
      </w:r>
      <w:r>
        <w:t xml:space="preserve">dataset are captured by this sort</w:t>
      </w:r>
    </w:p>
    <w:p>
      <w:pPr>
        <w:pStyle w:val="BodyText"/>
      </w:pPr>
      <w:r>
        <w:t xml:space="preserve">Along track scanners: Basically several detectors pushed along. E.g., Quickbird, SPOT</w:t>
      </w:r>
    </w:p>
    <w:bookmarkEnd w:id="37"/>
    <w:bookmarkStart w:id="38" w:name="geometric-correction"/>
    <w:p>
      <w:pPr>
        <w:pStyle w:val="Heading3"/>
      </w:pPr>
      <w:r>
        <w:t xml:space="preserve">3.1.2 Geometric Correction</w:t>
      </w:r>
    </w:p>
    <w:p>
      <w:pPr>
        <w:pStyle w:val="FirstParagraph"/>
      </w:pPr>
      <w:r>
        <w:t xml:space="preserve">RS data could include image distortions introduced by: View angle, topography, wind and rotation of the earth</w:t>
      </w:r>
    </w:p>
    <w:p>
      <w:pPr>
        <w:pStyle w:val="BodyText"/>
      </w:pPr>
      <w:r>
        <w:t xml:space="preserve">We identify Ground Control Points (GCP) in distorted data to match them with local map, correct image, or GPS data from handheld device, but these reference images could also contain distortions and imprecisions.</w:t>
      </w:r>
    </w:p>
    <w:p>
      <w:pPr>
        <w:pStyle w:val="BodyText"/>
      </w:pPr>
      <w:r>
        <w:t xml:space="preserve">RMSE is adopted here to measure fitness between images. Use GCPs to minimise RMSE.</w:t>
      </w:r>
    </w:p>
    <w:p>
      <w:pPr>
        <w:pStyle w:val="BodyText"/>
      </w:pPr>
      <w:r>
        <w:t xml:space="preserve">Doing geometric correction can shift the original image, so we want to re-sample the final raster by using Nearest Neighbour, Linear, Cubic, Cubic spline re-samplers</w:t>
      </w:r>
    </w:p>
    <w:bookmarkEnd w:id="38"/>
    <w:bookmarkStart w:id="39" w:name="atmosphric-correction"/>
    <w:p>
      <w:pPr>
        <w:pStyle w:val="Heading3"/>
      </w:pPr>
      <w:r>
        <w:t xml:space="preserve">3.1.3 Atmosphric Correction</w:t>
      </w:r>
    </w:p>
    <w:p>
      <w:pPr>
        <w:pStyle w:val="FirstParagraph"/>
      </w:pPr>
      <w:r>
        <w:t xml:space="preserve">According to</w:t>
      </w:r>
      <w:r>
        <w:t xml:space="preserve"> </w:t>
      </w:r>
      <w:r>
        <w:t xml:space="preserve">Jensen (1986)</w:t>
      </w:r>
      <w:r>
        <w:t xml:space="preserve">, two factors contribute to environmental attenuation: Atmospheric scattering, topographic attenuation.</w:t>
      </w:r>
    </w:p>
    <w:p>
      <w:pPr>
        <w:pStyle w:val="BodyText"/>
      </w:pPr>
      <w:r>
        <w:t xml:space="preserve">There are unnecessary and necessary atmospheric corrections:</w:t>
      </w:r>
    </w:p>
    <w:p>
      <w:pPr>
        <w:pStyle w:val="BodyText"/>
      </w:pPr>
      <w:r>
        <w:t xml:space="preserve">necessary ones are:</w:t>
      </w:r>
    </w:p>
    <w:p>
      <w:pPr>
        <w:numPr>
          <w:ilvl w:val="0"/>
          <w:numId w:val="1014"/>
        </w:numPr>
      </w:pPr>
      <w:r>
        <w:t xml:space="preserve">Biophysical parameters needed (e.g. temperature, leaf area index, NDVI)</w:t>
      </w:r>
    </w:p>
    <w:p>
      <w:pPr>
        <w:numPr>
          <w:ilvl w:val="0"/>
          <w:numId w:val="1014"/>
        </w:numPr>
      </w:pPr>
      <w:r>
        <w:t xml:space="preserve">E.g. .. .NDVI is used in the Africa Famine Early Warning System and Livestock Early Warning System</w:t>
      </w:r>
    </w:p>
    <w:p>
      <w:pPr>
        <w:numPr>
          <w:ilvl w:val="0"/>
          <w:numId w:val="1014"/>
        </w:numPr>
      </w:pPr>
      <w:r>
        <w:t xml:space="preserve">Using spectral signatures through time and space</w:t>
      </w:r>
    </w:p>
    <w:p>
      <w:pPr>
        <w:pStyle w:val="FirstParagraph"/>
      </w:pPr>
      <w:r>
        <w:t xml:space="preserve">Absorption and scattering can create the haze, i.e. reduces contrast of image.</w:t>
      </w:r>
    </w:p>
    <w:p>
      <w:pPr>
        <w:pStyle w:val="BodyText"/>
      </w:pPr>
      <w:r>
        <w:t xml:space="preserve">Scattering can create the</w:t>
      </w:r>
      <w:r>
        <w:t xml:space="preserve"> </w:t>
      </w:r>
      <w:r>
        <w:t xml:space="preserve">“</w:t>
      </w:r>
      <w:r>
        <w:t xml:space="preserve">adjacency effect</w:t>
      </w:r>
      <w:r>
        <w:t xml:space="preserve">”</w:t>
      </w:r>
      <w:r>
        <w:t xml:space="preserve">, radiance from pixels nearby mixed into pixel of interest.</w:t>
      </w:r>
    </w:p>
    <w:bookmarkEnd w:id="39"/>
    <w:bookmarkStart w:id="40" w:name="orthorectification-correction"/>
    <w:p>
      <w:pPr>
        <w:pStyle w:val="Heading3"/>
      </w:pPr>
      <w:r>
        <w:t xml:space="preserve">3.1.4 Orthorectification Correction</w:t>
      </w:r>
    </w:p>
    <w:p>
      <w:pPr>
        <w:pStyle w:val="FirstParagraph"/>
      </w:pPr>
      <w:r>
        <w:t xml:space="preserve">This is a subset of georectification, i.e. giving coords to an image. Particularly Orthorectification means removing distortion so pixels can appear being viewed at</w:t>
      </w:r>
      <w:r>
        <w:t xml:space="preserve"> </w:t>
      </w:r>
      <w:r>
        <w:rPr>
          <w:u w:val="single"/>
        </w:rPr>
        <w:t xml:space="preserve">nadir</w:t>
      </w:r>
      <w:r>
        <w:t xml:space="preserve"> </w:t>
      </w:r>
      <w:r>
        <w:t xml:space="preserve">(straight down). This requires the support of an Elevation Model to calculate the nadir view for each pixel on a sensor geometry.</w:t>
      </w:r>
    </w:p>
    <w:p>
      <w:pPr>
        <w:pStyle w:val="BodyText"/>
      </w:pPr>
      <w:r>
        <w:t xml:space="preserve">To do this: cosine correction, Minnaert correction, Statistical Empirical correction, C Correction (advancing the Cosine). Need radiance (DN to TOA) from sloped terrain, Sun’s zenith angle, Sun’s incidence angle - cosine of the angle between the solar zenith and the normal line of the slope. Latter two found in angle coefficient files (e.g. Landsat data ANG.txt).</w:t>
      </w:r>
    </w:p>
    <w:bookmarkEnd w:id="40"/>
    <w:bookmarkStart w:id="41" w:name="rdiometric-correction"/>
    <w:p>
      <w:pPr>
        <w:pStyle w:val="Heading3"/>
      </w:pPr>
      <w:r>
        <w:t xml:space="preserve">3.1.5 Rdiometric Correction</w:t>
      </w:r>
    </w:p>
    <w:p>
      <w:pPr>
        <w:pStyle w:val="FirstParagraph"/>
      </w:pPr>
      <w:r>
        <w:t xml:space="preserve">Corrections to raw satellite imagery can be performed using a method called Dark Object Subtraction (DOS). The logic is that the darkest pixel in the image should be 0 and any value it has is due to the atmosphere. To remove the atmospheric effect, the value from the darkest pixel is subtracted from the rest of the pixels in the image. The calculation involves converting the Digital Number (DN) to radiance, computing the haze value for each band (but not beyond NIR), and subtracting the 1% reflectance value from the radiance. The calculation requires values such as mean exoatmospheric irradiance, solar azimuth, Earth-sun distance, and others, which can be found in sources such as Landsat user manuals.</w:t>
      </w:r>
    </w:p>
    <w:bookmarkEnd w:id="41"/>
    <w:bookmarkStart w:id="42" w:name="joining-data-sets"/>
    <w:p>
      <w:pPr>
        <w:pStyle w:val="Heading3"/>
      </w:pPr>
      <w:r>
        <w:t xml:space="preserve">3.1.6 Joining data sets</w:t>
      </w:r>
    </w:p>
    <w:p>
      <w:pPr>
        <w:pStyle w:val="FirstParagraph"/>
      </w:pPr>
      <w:r>
        <w:t xml:space="preserve">Also known as</w:t>
      </w:r>
      <w:r>
        <w:t xml:space="preserve"> </w:t>
      </w:r>
      <w:r>
        <w:rPr>
          <w:u w:val="single"/>
        </w:rPr>
        <w:t xml:space="preserve">Mosaicking</w:t>
      </w:r>
      <w:r>
        <w:t xml:space="preserve">: We feather two images, creating a</w:t>
      </w:r>
      <w:r>
        <w:t xml:space="preserve"> </w:t>
      </w:r>
      <w:r>
        <w:rPr>
          <w:u w:val="single"/>
        </w:rPr>
        <w:t xml:space="preserve">seamless</w:t>
      </w:r>
      <w:r>
        <w:t xml:space="preserve"> </w:t>
      </w:r>
      <w:r>
        <w:t xml:space="preserve">mosaic, where the diving lien is called</w:t>
      </w:r>
      <w:r>
        <w:t xml:space="preserve"> </w:t>
      </w:r>
      <w:r>
        <w:rPr>
          <w:u w:val="single"/>
        </w:rPr>
        <w:t xml:space="preserve">seamline</w:t>
      </w:r>
      <w:r>
        <w:t xml:space="preserve">.</w:t>
      </w:r>
    </w:p>
    <w:bookmarkEnd w:id="42"/>
    <w:bookmarkStart w:id="43" w:name="image-enhancements"/>
    <w:p>
      <w:pPr>
        <w:pStyle w:val="Heading3"/>
      </w:pPr>
      <w:r>
        <w:t xml:space="preserve">3.1.7 Image Enhancements</w:t>
      </w:r>
    </w:p>
    <w:p>
      <w:pPr>
        <w:pStyle w:val="FirstParagraph"/>
      </w:pPr>
      <w:r>
        <w:t xml:space="preserve">Image stretch, Band ratioing, Normalised Burn Ratio, Edge enhancement, Filtering, PCA, Image fusion (see application) etc.</w:t>
      </w:r>
    </w:p>
    <w:bookmarkEnd w:id="43"/>
    <w:bookmarkEnd w:id="44"/>
    <w:bookmarkStart w:id="59" w:name="Xcdbeae6e80f1fe79c579cc2b7c795bcf25a3f61"/>
    <w:p>
      <w:pPr>
        <w:pStyle w:val="Heading2"/>
      </w:pPr>
      <w:r>
        <w:t xml:space="preserve">3.2 Application - Discussing image fusion in one literature</w:t>
      </w:r>
    </w:p>
    <w:p>
      <w:pPr>
        <w:pStyle w:val="FirstParagraph"/>
      </w:pPr>
      <w:bookmarkStart w:id="48" w:name="fig-mindmap01"/>
      <w:r>
        <w:drawing>
          <wp:inline>
            <wp:extent cx="5334000" cy="4025089"/>
            <wp:effectExtent b="0" l="0" r="0" t="0"/>
            <wp:docPr descr="" title="" id="46" name="Picture"/>
            <a:graphic>
              <a:graphicData uri="http://schemas.openxmlformats.org/drawingml/2006/picture">
                <pic:pic>
                  <pic:nvPicPr>
                    <pic:cNvPr descr="./images/image-620878088.png" id="47" name="Picture"/>
                    <pic:cNvPicPr>
                      <a:picLocks noChangeArrowheads="1" noChangeAspect="1"/>
                    </pic:cNvPicPr>
                  </pic:nvPicPr>
                  <pic:blipFill>
                    <a:blip r:embed="rId45"/>
                    <a:stretch>
                      <a:fillRect/>
                    </a:stretch>
                  </pic:blipFill>
                  <pic:spPr bwMode="auto">
                    <a:xfrm>
                      <a:off x="0" y="0"/>
                      <a:ext cx="5334000" cy="4025089"/>
                    </a:xfrm>
                    <a:prstGeom prst="rect">
                      <a:avLst/>
                    </a:prstGeom>
                    <a:noFill/>
                    <a:ln w="9525">
                      <a:noFill/>
                      <a:headEnd/>
                      <a:tailEnd/>
                    </a:ln>
                  </pic:spPr>
                </pic:pic>
              </a:graphicData>
            </a:graphic>
          </wp:inline>
        </w:drawing>
      </w:r>
      <w:bookmarkEnd w:id="48"/>
    </w:p>
    <w:p>
      <w:pPr>
        <w:pStyle w:val="BodyText"/>
      </w:pPr>
      <w:r>
        <w:t xml:space="preserve">From literature we delve in the nuances of levels on which we perform image fusion to acquire better results. The integration methods vary as the levels vary</w:t>
      </w:r>
      <w:r>
        <w:t xml:space="preserve"> </w:t>
      </w:r>
      <w:r>
        <w:t xml:space="preserve">(Schulte to Bühne and Pettorelli 2018)</w:t>
      </w:r>
      <w:r>
        <w:t xml:space="preserve">.</w:t>
      </w:r>
    </w:p>
    <w:p>
      <w:pPr>
        <w:pStyle w:val="BodyText"/>
      </w:pPr>
      <w:r>
        <w:t xml:space="preserve">Satellite remote sensing (SRS) can be derived from Multispectral sensors and radar sensors. </w:t>
      </w:r>
    </w:p>
    <w:p>
      <w:pPr>
        <w:pStyle w:val="BodyText"/>
      </w:pPr>
      <w:r>
        <w:t xml:space="preserve"> Multispectral sensors are passive, merely receiving electromagnetic waves reflected from surface, usually used to reflect chemical properties (such as nitrogen or carbon content and moisture). Usually produces data with comparatively low spatial resolution</w:t>
      </w:r>
    </w:p>
    <w:p>
      <w:pPr>
        <w:pStyle w:val="BodyText"/>
      </w:pPr>
      <w:r>
        <w:t xml:space="preserve"> Radar ones emit electromagnetic radiation and measure the returning signal, responding to the three-dimensional structure of objects, being sensitive to their orientation, volume and surface roughness. Usually produces data with comparatively high spatial resolution</w:t>
      </w:r>
    </w:p>
    <w:bookmarkStart w:id="53" w:name="image-fusion"/>
    <w:p>
      <w:pPr>
        <w:pStyle w:val="Heading3"/>
      </w:pPr>
      <w:r>
        <w:t xml:space="preserve">3.2.1 Image fusion:</w:t>
      </w:r>
    </w:p>
    <w:p>
      <w:pPr>
        <w:pStyle w:val="FirstParagraph"/>
      </w:pPr>
      <w:r>
        <w:t xml:space="preserve">1. </w:t>
      </w:r>
      <w:r>
        <w:rPr>
          <w:bCs/>
          <w:b/>
        </w:rPr>
        <w:t xml:space="preserve">decision-level</w:t>
      </w:r>
      <w:r>
        <w:t xml:space="preserve"> (SRS integration), where separate predictors are used to estimate a parameter of interest. </w:t>
      </w:r>
    </w:p>
    <w:p>
      <w:pPr>
        <w:pStyle w:val="BodyText"/>
      </w:pPr>
      <w:r>
        <w:t xml:space="preserve">2. </w:t>
      </w:r>
      <w:r>
        <w:rPr>
          <w:bCs/>
          <w:b/>
        </w:rPr>
        <w:t xml:space="preserve">object-level (feature-level).</w:t>
      </w:r>
      <w:r>
        <w:t xml:space="preserve"> unit: multi-pixel objects. (1) using radar and multispectral imagery is input into an object-based image segmentation algorithm, or (2) segmenting each type of imagery separately before combining them. multi-pixel objects</w:t>
      </w:r>
    </w:p>
    <w:p>
      <w:pPr>
        <w:pStyle w:val="BodyText"/>
      </w:pPr>
      <w:r>
        <w:t xml:space="preserve">3. </w:t>
      </w:r>
      <w:r>
        <w:rPr>
          <w:bCs/>
          <w:b/>
        </w:rPr>
        <w:t xml:space="preserve">pixel-level (Observation-level)</w:t>
      </w:r>
      <w:r>
        <w:t xml:space="preserve">, where pixel values are combined to derive a fused image with new pixel values, either in the spatial or the temporal domain.</w:t>
      </w:r>
    </w:p>
    <w:p>
      <w:pPr>
        <w:pStyle w:val="BodyText"/>
      </w:pPr>
      <w:r>
        <w:t xml:space="preserve">(2. and 3. derive entirely new predictors.)</w:t>
      </w:r>
    </w:p>
    <w:tbl>
      <w:tblPr>
        <w:tblStyle w:val="Table"/>
        <w:tblW w:type="pct" w:w="5000"/>
        <w:tblLook w:firstRow="0" w:lastRow="0" w:firstColumn="0" w:lastColumn="0" w:noHBand="0" w:noVBand="0" w:val="0000"/>
      </w:tblPr>
      <w:tblGrid>
        <w:gridCol w:w="7920"/>
      </w:tblGrid>
      <w:tr>
        <w:tc>
          <w:tcPr/>
          <w:bookmarkStart w:id="52" w:name="fig-fusiontech"/>
          <w:p>
            <w:pPr>
              <w:pStyle w:val="Figure"/>
              <w:jc w:val="center"/>
            </w:pPr>
            <w:r>
              <w:drawing>
                <wp:inline>
                  <wp:extent cx="5334000" cy="7873787"/>
                  <wp:effectExtent b="0" l="0" r="0" t="0"/>
                  <wp:docPr descr="" title="" id="50" name="Picture"/>
                  <a:graphic>
                    <a:graphicData uri="http://schemas.openxmlformats.org/drawingml/2006/picture">
                      <pic:pic>
                        <pic:nvPicPr>
                          <pic:cNvPr descr="./images/fusion%20techniques.png" id="51" name="Picture"/>
                          <pic:cNvPicPr>
                            <a:picLocks noChangeArrowheads="1" noChangeAspect="1"/>
                          </pic:cNvPicPr>
                        </pic:nvPicPr>
                        <pic:blipFill>
                          <a:blip r:embed="rId49"/>
                          <a:stretch>
                            <a:fillRect/>
                          </a:stretch>
                        </pic:blipFill>
                        <pic:spPr bwMode="auto">
                          <a:xfrm>
                            <a:off x="0" y="0"/>
                            <a:ext cx="5334000" cy="78737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Credit:</w:t>
            </w:r>
            <w:r>
              <w:t xml:space="preserve"> </w:t>
            </w:r>
            <w:r>
              <w:t xml:space="preserve">Schulte to Bühne and Pettorelli (2018)</w:t>
            </w:r>
          </w:p>
          <w:bookmarkEnd w:id="52"/>
        </w:tc>
      </w:tr>
    </w:tbl>
    <w:p>
      <w:pPr>
        <w:pStyle w:val="BodyText"/>
      </w:pPr>
      <w:r>
        <w:t xml:space="preserve">Schematic overview of multispectral-radar SRS data fusion techniques. The parameter of interest can be a categorical variable, like land cover, or a continuous variable, like species richness. In pixel-level fusion, the original pixel values of radar and multispectral imagery are combined to yield new, derived pixel values. Object-based fusion refers to (1) using radar and multispectral imagery is input into an object-based image segmentation algorithm, or (2) segmenting each type of imagery separately before combining them. Finally, decision-level fusion corresponds to the process of quantitatively combining multispectral and radar imagery to derive the parameter of interest (by e.g. combining them in a regression model, or classification algorithm)</w:t>
      </w:r>
    </w:p>
    <w:bookmarkEnd w:id="53"/>
    <w:bookmarkStart w:id="58" w:name="implementation-approaches"/>
    <w:p>
      <w:pPr>
        <w:pStyle w:val="Heading3"/>
      </w:pPr>
      <w:r>
        <w:t xml:space="preserve">3.2.2 Implementation Approaches</w:t>
      </w:r>
    </w:p>
    <w:tbl>
      <w:tblPr>
        <w:tblStyle w:val="Table"/>
        <w:tblW w:type="pct" w:w="5000"/>
        <w:tblLook w:firstRow="0" w:lastRow="0" w:firstColumn="0" w:lastColumn="0" w:noHBand="0" w:noVBand="0" w:val="0000"/>
      </w:tblPr>
      <w:tblGrid>
        <w:gridCol w:w="7920"/>
      </w:tblGrid>
      <w:tr>
        <w:tc>
          <w:tcPr/>
          <w:bookmarkStart w:id="57" w:name="fig-impleApproach"/>
          <w:p>
            <w:pPr>
              <w:pStyle w:val="Figure"/>
              <w:jc w:val="center"/>
            </w:pPr>
            <w:r>
              <w:drawing>
                <wp:inline>
                  <wp:extent cx="5334000" cy="3920717"/>
                  <wp:effectExtent b="0" l="0" r="0" t="0"/>
                  <wp:docPr descr="" title="" id="55" name="Picture"/>
                  <a:graphic>
                    <a:graphicData uri="http://schemas.openxmlformats.org/drawingml/2006/picture">
                      <pic:pic>
                        <pic:nvPicPr>
                          <pic:cNvPr descr="./images/Implementation%20approach.png" id="56" name="Picture"/>
                          <pic:cNvPicPr>
                            <a:picLocks noChangeArrowheads="1" noChangeAspect="1"/>
                          </pic:cNvPicPr>
                        </pic:nvPicPr>
                        <pic:blipFill>
                          <a:blip r:embed="rId54"/>
                          <a:stretch>
                            <a:fillRect/>
                          </a:stretch>
                        </pic:blipFill>
                        <pic:spPr bwMode="auto">
                          <a:xfrm>
                            <a:off x="0" y="0"/>
                            <a:ext cx="5334000" cy="3920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Credit:</w:t>
            </w:r>
            <w:r>
              <w:t xml:space="preserve"> </w:t>
            </w:r>
            <w:r>
              <w:t xml:space="preserve">Schulte to Bühne and Pettorelli (2018)</w:t>
            </w:r>
          </w:p>
          <w:bookmarkEnd w:id="57"/>
        </w:tc>
      </w:tr>
    </w:tbl>
    <w:p>
      <w:pPr>
        <w:pStyle w:val="BodyText"/>
      </w:pPr>
      <w:r>
        <w:rPr>
          <w:iCs/>
          <w:i/>
          <w:bCs/>
          <w:b/>
        </w:rPr>
        <w:t xml:space="preserve">pixel-level</w:t>
      </w:r>
    </w:p>
    <w:p>
      <w:pPr>
        <w:numPr>
          <w:ilvl w:val="0"/>
          <w:numId w:val="1015"/>
        </w:numPr>
        <w:pStyle w:val="Compact"/>
      </w:pPr>
      <w:r>
        <w:t xml:space="preserve">Component substitution techniques: such as principal component analysis (PCA), Intensity-hue-saturation (IHS). </w:t>
      </w:r>
      <w:r>
        <w:br/>
      </w:r>
    </w:p>
    <w:p>
      <w:pPr>
        <w:numPr>
          <w:ilvl w:val="0"/>
          <w:numId w:val="1015"/>
        </w:numPr>
        <w:pStyle w:val="Compact"/>
      </w:pPr>
      <w:r>
        <w:t xml:space="preserve">PCA is the only pixel-level image fusion technique that cannot be applied to imagery with different spatial resolutions, and the only that allows unlimited image numbers.</w:t>
      </w:r>
      <w:r>
        <w:br/>
      </w:r>
    </w:p>
    <w:p>
      <w:pPr>
        <w:numPr>
          <w:ilvl w:val="0"/>
          <w:numId w:val="1015"/>
        </w:numPr>
        <w:pStyle w:val="Compact"/>
      </w:pPr>
      <w:r>
        <w:t xml:space="preserve">IHS fusion. Three images with lower spatial resolution (typically multispectral data) are integrated with a single image with high spatial resolution (typically radar) to retain the radiometry but increase the spatial resolution of the former. Facilitate visual interpretation by combining resulting images into a single RGB image.</w:t>
      </w:r>
      <w:r>
        <w:br/>
      </w:r>
    </w:p>
    <w:p>
      <w:pPr>
        <w:numPr>
          <w:ilvl w:val="0"/>
          <w:numId w:val="1015"/>
        </w:numPr>
        <w:pStyle w:val="Compact"/>
      </w:pPr>
      <w:r>
        <w:t xml:space="preserve">Multi-resolution analysis, such as **Wavelet transformation. Decompose multispectral and radar imagery into their respective low- and high-frequency components</w:t>
      </w:r>
      <w:r>
        <w:br/>
      </w:r>
    </w:p>
    <w:p>
      <w:pPr>
        <w:numPr>
          <w:ilvl w:val="0"/>
          <w:numId w:val="1015"/>
        </w:numPr>
        <w:pStyle w:val="Compact"/>
      </w:pPr>
      <w:r>
        <w:t xml:space="preserve">Arithmetic fusion techniques: such as the Brovey transform algorithm. Unlikely to be appropriate for multispectral-radar SRS image fusion.</w:t>
      </w:r>
    </w:p>
    <w:p>
      <w:pPr>
        <w:pStyle w:val="FirstParagraph"/>
      </w:pPr>
      <w:r>
        <w:rPr>
          <w:iCs/>
          <w:i/>
          <w:bCs/>
          <w:b/>
        </w:rPr>
        <w:t xml:space="preserve">Object-level</w:t>
      </w:r>
      <w:r>
        <w:t xml:space="preserve">: Based on brightness and intensity values of each pixel, as well as its spatial context, objects such as lines, shapes or textures are extracted.</w:t>
      </w:r>
    </w:p>
    <w:p>
      <w:pPr>
        <w:pStyle w:val="BodyText"/>
      </w:pPr>
      <w:r>
        <w:t xml:space="preserve">1. </w:t>
      </w:r>
      <w:r>
        <w:rPr>
          <w:bCs/>
          <w:b/>
        </w:rPr>
        <w:t xml:space="preserve">image segmentation:</w:t>
      </w:r>
      <w:r>
        <w:t xml:space="preserve"> </w:t>
      </w:r>
      <w:r>
        <w:t xml:space="preserve">Demands that multispectral and radar SRS images are with the same spatial resolution</w:t>
      </w:r>
    </w:p>
    <w:p>
      <w:pPr>
        <w:pStyle w:val="BodyText"/>
      </w:pPr>
      <w:r>
        <w:t xml:space="preserve">2. *extracting objects separately and combining in a feature map*</w:t>
      </w:r>
    </w:p>
    <w:p>
      <w:pPr>
        <w:pStyle w:val="BodyText"/>
      </w:pPr>
      <w:r>
        <w:t xml:space="preserve">Object-based fusion reduces all multispectral and radar information into a single layer of discrete objects, which are often relatively easy to relate to ecological features.</w:t>
      </w:r>
    </w:p>
    <w:p>
      <w:pPr>
        <w:pStyle w:val="BodyText"/>
      </w:pPr>
      <w:r>
        <w:rPr>
          <w:iCs/>
          <w:i/>
          <w:bCs/>
          <w:b/>
        </w:rPr>
        <w:t xml:space="preserve">Decision-level fusion</w:t>
      </w:r>
      <w:r>
        <w:t xml:space="preserve">: Quantitative decision-making frameworks—such as a regression, a quantitative model or a classification algorithm.</w:t>
      </w:r>
    </w:p>
    <w:bookmarkEnd w:id="58"/>
    <w:bookmarkEnd w:id="59"/>
    <w:bookmarkStart w:id="60" w:name="reflection-1"/>
    <w:p>
      <w:pPr>
        <w:pStyle w:val="Heading2"/>
      </w:pPr>
      <w:r>
        <w:t xml:space="preserve">3.3 Reflection</w:t>
      </w:r>
    </w:p>
    <w:p>
      <w:pPr>
        <w:pStyle w:val="FirstParagraph"/>
      </w:pPr>
      <w:r>
        <w:t xml:space="preserve">Data correction, Data fusion and Image enhancement SRS data fusion can increase the quality of SRS (Satellite Remote sensing)-derived parameters for application in terrain detection, urban analysis, ecology and conservation</w:t>
      </w:r>
      <w:r>
        <w:t xml:space="preserve"> </w:t>
      </w:r>
      <w:r>
        <w:t xml:space="preserve">(Schulte to Bühne and Pettorelli 2018)</w:t>
      </w:r>
      <w:r>
        <w:t xml:space="preserve">. It is thus important to explore how best to capitalise on recent technological developments and changes in SRS data availability. It is exctiing to apply solid machine learning methods to this area and it is marvelous to see the progress reflected by the increasing number of software supporting this application. The improvement of image quality enables new research designs in ecology and conservation areas and reignite previously greyed-out options.</w:t>
      </w:r>
    </w:p>
    <w:p>
      <w:pPr>
        <w:pStyle w:val="BodyText"/>
      </w:pPr>
      <w:r>
        <w:t xml:space="preserve">The application of data correction, data fusion, and image enhancement techniques to SRS data can greatly improve the accuracy and reliability of SRS-derived parameters, which can then be used in various fields, including terrain detection, urban analysis, ecology, and conservation. With the rapid advancements in technology and the increasing availability of SRS data, there is a growing opportunity to leverage the latest machine learning techniques in this area. The development of new software tools to support these applications is a testament to the progress being made in this field. By enhancing the quality of the SRS data, researchers are able to design more robust and informative studies, unlocking new insights and avenues for exploration in ecology and conservation. This, in turn, has the potential to lead to breakthroughs and innovations in these fields, making a significant impact on the world around us.</w:t>
      </w:r>
    </w:p>
    <w:bookmarkEnd w:id="60"/>
    <w:bookmarkEnd w:id="61"/>
    <w:bookmarkStart w:id="66" w:name="week4---policy-case-study-in"/>
    <w:p>
      <w:pPr>
        <w:pStyle w:val="Heading1"/>
      </w:pPr>
      <w:r>
        <w:t xml:space="preserve">4. Week4 - Policy Case Study in</w:t>
      </w:r>
    </w:p>
    <w:p>
      <w:pPr>
        <w:pStyle w:val="FirstParagraph"/>
      </w:pPr>
      <w:hyperlink r:id="rId62">
        <w:r>
          <w:rPr>
            <w:rStyle w:val="Hyperlink"/>
          </w:rPr>
          <w:t xml:space="preserve">OneNYC-2050-Summary.pdf (cityofnewyork.us)</w:t>
        </w:r>
      </w:hyperlink>
    </w:p>
    <w:bookmarkStart w:id="63" w:name="summary-2"/>
    <w:p>
      <w:pPr>
        <w:pStyle w:val="Heading2"/>
      </w:pPr>
      <w:r>
        <w:t xml:space="preserve">4.1 Summary</w:t>
      </w:r>
    </w:p>
    <w:p>
      <w:pPr>
        <w:pStyle w:val="FirstParagraph"/>
      </w:pPr>
      <w:r>
        <w:t xml:space="preserve">Comprehensive Plan for New York City | |– Expanding Voting Rights | |– Increasing Digital Literacy | |– Providing Economic Security | | | |– Good-Paying Jobs | |– Support for Students in Temporary Housing | |– Access to Open Spaces &amp; Cultural Resources | | | |– Neighborhood Open Spaces | |– Cultural Resources | |– Promoting Healthy Lifestyles | |– Achieving Carbon Neutrality | | | |– Climate Accountability | |– Climate Justice | |– Enhancing Walkability &amp; Accessibility | |– Improving Infrastructure | | | |– Reducing Congestion &amp; Emissions | |– Strengthening Regional &amp; Global Connections | |– Core Physical Infrastructure &amp; Hazard Mitigation | |– Digital Infrastructure | |– Asset Maintenance &amp; Capital Project Delivery | |– Milestones | | | |– December 31, 2020 | |– December 31, 2021 | |– Goals | | | |– Empower New Yorkers in Democracy | |– Grow the Economy | |– Access to Open Spaces &amp; Cultural Resources | |– Improve Education | |– Achieve Carbon Neutrality | |– Strengthen Communities | |– Improve Mobility | |– Diversity &amp; Inclusionx</w:t>
      </w:r>
    </w:p>
    <w:bookmarkEnd w:id="63"/>
    <w:bookmarkStart w:id="64" w:name="application-2"/>
    <w:p>
      <w:pPr>
        <w:pStyle w:val="Heading2"/>
      </w:pPr>
      <w:r>
        <w:t xml:space="preserve">4.2 Application</w:t>
      </w:r>
    </w:p>
    <w:p>
      <w:pPr>
        <w:pStyle w:val="FirstParagraph"/>
      </w:pPr>
      <w:r>
        <w:t xml:space="preserve">The initiatives provided cover a wide range of areas, including education, small business support, community resilience, infrastructure, transportation, and sustainability. One of the key applications of these initiatives is to improve the quality of life for New Yorkers, particularly those in underrepresented communities. For example, the initiatives aimed at increasing the number of New Yorkers earning a high school equivalency diploma and connecting underrepresented groups to construction jobs created by City investments are designed to provide greater economic opportunities and upward mobility.</w:t>
      </w:r>
    </w:p>
    <w:p>
      <w:pPr>
        <w:pStyle w:val="BodyText"/>
      </w:pPr>
      <w:r>
        <w:t xml:space="preserve">Similarly, the initiatives aimed at enhancing walkability and accessibility and improving the sustainability and efficiency of air travel are designed to improve the physical infrastructure of the city and make it more accessible and sustainable for all residents. Another application of these initiatives is to promote equity and inclusivity in the city.</w:t>
      </w:r>
    </w:p>
    <w:p>
      <w:pPr>
        <w:pStyle w:val="BodyText"/>
      </w:pPr>
      <w:r>
        <w:t xml:space="preserve">Many of the initiatives are specifically targeted at underrepresented communities, such as the initiatives aimed at providing paid internships and professional development opportunities to cultural workers and supporting the growth and retention of small businesses.</w:t>
      </w:r>
    </w:p>
    <w:p>
      <w:pPr>
        <w:pStyle w:val="BodyText"/>
      </w:pPr>
      <w:r>
        <w:t xml:space="preserve">By providing resources and support to these communities, the city aims to promote greater equity and inclusivity and reduce disparities in access to resources and opportunities.</w:t>
      </w:r>
    </w:p>
    <w:p>
      <w:pPr>
        <w:pStyle w:val="BodyText"/>
      </w:pPr>
      <w:r>
        <w:t xml:space="preserve">The initiatives also reflect a commitment to sustainability and resilience. Many of the initiatives are aimed at improving the city’s infrastructure and transportation systems to make them more sustainable and resilient in the face of climate change and other challenges. For example, the initiatives aimed at investing in innovative and resilient transportation networks and enhancing walkability and accessibility are designed to reduce emissions and congestion and promote sustainable modes of transportation.</w:t>
      </w:r>
    </w:p>
    <w:p>
      <w:pPr>
        <w:pStyle w:val="BodyText"/>
      </w:pPr>
      <w:r>
        <w:t xml:space="preserve">Overall, the initiatives outlined in the text reflect a comprehensive and multi-faceted approach to improving life in New York City. While there is still much work to be done, these initiatives represent an important step forward in promoting equity, sustainability, and resilience in the city. As future literature advancements are made, it will be important to continue to evaluate and refine these approaches to ensure that they are effective and responsive to the needs of all New Yorkers.</w:t>
      </w:r>
    </w:p>
    <w:bookmarkEnd w:id="64"/>
    <w:bookmarkStart w:id="65" w:name="reflection-2"/>
    <w:p>
      <w:pPr>
        <w:pStyle w:val="Heading2"/>
      </w:pPr>
      <w:r>
        <w:t xml:space="preserve">4.3 Reflection</w:t>
      </w:r>
    </w:p>
    <w:p>
      <w:pPr>
        <w:pStyle w:val="FirstParagraph"/>
      </w:pPr>
      <w:r>
        <w:t xml:space="preserve">The initiatives outlined in the text cover critical components of urban planning and development, including infrastructure, transportation, education, and sustainability. The initiatives outlined in the text emphasize the importance of investing in the city’s data infrastructure and establishing a citywide data catalog, among other things. This requires a deep understanding of data management and analysis techniques, as well as the ability to work with large and complex datasets. Spatial data scientists and deep learning solution engineers can use these skills to develop innovative solutions for urban planning and development, such as predictive models for traffic flow or energy consumption.</w:t>
      </w:r>
    </w:p>
    <w:p>
      <w:pPr>
        <w:pStyle w:val="BodyText"/>
      </w:pPr>
      <w:r>
        <w:t xml:space="preserve">Many of the initiatives outlined in the text involve the use of GIS products and services, as well as the expansion of walkability and accessibility in the city. This requires a deep understanding of geospatial data analysis techniques, as well as the ability to work with mapping and visualization tools. Spatial data scientists and deep learning solution engineers can use these skills to develop innovative solutions for urban planning and development, such as interactive maps that show the most walkable routes in the city.</w:t>
      </w:r>
    </w:p>
    <w:p>
      <w:pPr>
        <w:pStyle w:val="BodyText"/>
      </w:pPr>
      <w:r>
        <w:t xml:space="preserve">In addition to these skills, the content, data, and tools presented in the text are highly relevant to the broader discipline of urban planning and development. Spatial data scientists and deep learning solution engineers can use these resources to develop innovative solutions for a wide range of urban challenges, from improving transportation networks to promoting sustainability and resilience. By leveraging these resources, these professionals can help to create more livable and equitable cities that meet the needs of all residents. Looking to the future, it will be important for spatial data scientists and deep learning solution engineers to continue to stay up-to-date with the latest advancements in data management, analysis, and visualization techniques.</w:t>
      </w:r>
    </w:p>
    <w:bookmarkEnd w:id="65"/>
    <w:bookmarkEnd w:id="66"/>
    <w:bookmarkStart w:id="75" w:name="Xdb68c15a687e4787aa1e63d21a520aabcab728b"/>
    <w:p>
      <w:pPr>
        <w:pStyle w:val="Heading1"/>
      </w:pPr>
      <w:r>
        <w:t xml:space="preserve">5. Week 5 - An introduction to Google Earth Engine</w:t>
      </w:r>
    </w:p>
    <w:p>
      <w:pPr>
        <w:pStyle w:val="FirstParagraph"/>
      </w:pPr>
      <w:r>
        <w:t xml:space="preserve">This week introduces</w:t>
      </w:r>
      <w:r>
        <w:t xml:space="preserve"> </w:t>
      </w:r>
      <w:r>
        <w:rPr>
          <w:bCs/>
          <w:b/>
        </w:rPr>
        <w:t xml:space="preserve">Google Earth Engine (GEE)</w:t>
      </w:r>
      <w:r>
        <w:t xml:space="preserve">, a geospatial processing service that allows for planetary scale analysis of massive datasets in seconds.</w:t>
      </w:r>
    </w:p>
    <w:p>
      <w:pPr>
        <w:pStyle w:val="BodyText"/>
      </w:pPr>
      <w:r>
        <w:t xml:space="preserve">Basics:</w:t>
      </w:r>
    </w:p>
    <w:p>
      <w:pPr>
        <w:numPr>
          <w:ilvl w:val="0"/>
          <w:numId w:val="1016"/>
        </w:numPr>
        <w:pStyle w:val="Compact"/>
      </w:pPr>
      <w:r>
        <w:t xml:space="preserve">The set up of GEE, its terms and jargon, and client vs server side operations, see Table 1</w:t>
      </w:r>
    </w:p>
    <w:p>
      <w:pPr>
        <w:numPr>
          <w:ilvl w:val="0"/>
          <w:numId w:val="1016"/>
        </w:numPr>
        <w:pStyle w:val="Compact"/>
      </w:pPr>
      <w:r>
        <w:t xml:space="preserve">How GEE uses Javascript and how mapping functions are used instead of loops</w:t>
      </w:r>
    </w:p>
    <w:p>
      <w:pPr>
        <w:numPr>
          <w:ilvl w:val="0"/>
          <w:numId w:val="1016"/>
        </w:numPr>
        <w:pStyle w:val="Compact"/>
      </w:pPr>
      <w:r>
        <w:t xml:space="preserve">The concept of scale in GEE, which refers to both the volume of analysis and pixel resolution</w:t>
      </w:r>
    </w:p>
    <w:p>
      <w:pPr>
        <w:numPr>
          <w:ilvl w:val="0"/>
          <w:numId w:val="1016"/>
        </w:numPr>
        <w:pStyle w:val="Compact"/>
      </w:pPr>
      <w:r>
        <w:t xml:space="preserve">How GEE aggregates the image to fit a 256x256 grid.</w:t>
      </w:r>
    </w:p>
    <w:p>
      <w:pPr>
        <w:pStyle w:val="FirstParagraph"/>
      </w:pPr>
      <w:r>
        <w:t xml:space="preserve">Objects and methods in GEE are introduced:</w:t>
      </w:r>
    </w:p>
    <w:p>
      <w:pPr>
        <w:numPr>
          <w:ilvl w:val="0"/>
          <w:numId w:val="1017"/>
        </w:numPr>
        <w:pStyle w:val="Compact"/>
      </w:pPr>
      <w:r>
        <w:t xml:space="preserve">E.g. geometries, features, feature collections, and</w:t>
      </w:r>
    </w:p>
    <w:p>
      <w:pPr>
        <w:numPr>
          <w:ilvl w:val="0"/>
          <w:numId w:val="1017"/>
        </w:numPr>
        <w:pStyle w:val="Compact"/>
      </w:pPr>
      <w:r>
        <w:t xml:space="preserve">Various data reduction techniques (e.g., reducing images, reducing images by region(s), reducing images by neighborhood).</w:t>
      </w:r>
    </w:p>
    <w:p>
      <w:pPr>
        <w:pStyle w:val="FirstParagraph"/>
      </w:pPr>
      <w:r>
        <w:t xml:space="preserve">Also, the types of analyses that can be performed in GEE are briefly covered.</w:t>
      </w:r>
    </w:p>
    <w:bookmarkStart w:id="72" w:name="summary-3"/>
    <w:p>
      <w:pPr>
        <w:pStyle w:val="Heading2"/>
      </w:pPr>
      <w:r>
        <w:t xml:space="preserve">5.1 Summary</w:t>
      </w:r>
    </w:p>
    <w:p>
      <w:pPr>
        <w:pStyle w:val="FirstParagraph"/>
      </w:pPr>
      <w:r>
        <w:t xml:space="preserve">Introduced GEE Basics, Objects, Geometries and applications.</w:t>
      </w:r>
    </w:p>
    <w:p>
      <w:pPr>
        <w:pStyle w:val="BodyText"/>
      </w:pPr>
      <w:r>
        <w:t xml:space="preserve">Table 1: Terms, Jargon, and Processes Related to Google Earth Engine</w:t>
      </w:r>
    </w:p>
    <w:tbl>
      <w:tblPr>
        <w:tblStyle w:val="Table"/>
        <w:tblW w:type="pct" w:w="5000"/>
        <w:tblLook w:firstRow="1" w:lastRow="0" w:firstColumn="0" w:lastColumn="0" w:noHBand="0" w:noVBand="0" w:val="0020"/>
      </w:tblPr>
      <w:tblGrid>
        <w:gridCol w:w="603"/>
        <w:gridCol w:w="884"/>
        <w:gridCol w:w="6432"/>
      </w:tblGrid>
      <w:tr>
        <w:trPr>
          <w:tblHeader w:val="true"/>
        </w:trPr>
        <w:tc>
          <w:tcPr/>
          <w:p>
            <w:pPr>
              <w:pStyle w:val="Compact"/>
              <w:jc w:val="left"/>
            </w:pPr>
            <w:r>
              <w:t xml:space="preserve">Category</w:t>
            </w:r>
          </w:p>
        </w:tc>
        <w:tc>
          <w:tcPr/>
          <w:p>
            <w:pPr>
              <w:pStyle w:val="Compact"/>
              <w:jc w:val="left"/>
            </w:pPr>
            <w:r>
              <w:t xml:space="preserve">Term/Aspect</w:t>
            </w:r>
          </w:p>
        </w:tc>
        <w:tc>
          <w:tcPr/>
          <w:p>
            <w:pPr>
              <w:pStyle w:val="Compact"/>
              <w:jc w:val="left"/>
            </w:pPr>
            <w:r>
              <w:t xml:space="preserve">Definition</w:t>
            </w:r>
          </w:p>
        </w:tc>
      </w:tr>
      <w:tr>
        <w:tc>
          <w:tcPr/>
          <w:p>
            <w:pPr>
              <w:pStyle w:val="Compact"/>
              <w:jc w:val="left"/>
            </w:pPr>
            <w:r>
              <w:t xml:space="preserve">Basics</w:t>
            </w:r>
          </w:p>
        </w:tc>
        <w:tc>
          <w:tcPr/>
          <w:p>
            <w:pPr>
              <w:pStyle w:val="Compact"/>
              <w:jc w:val="left"/>
            </w:pPr>
            <w:r>
              <w:t xml:space="preserve">Google Earth Engine</w:t>
            </w:r>
          </w:p>
        </w:tc>
        <w:tc>
          <w:tcPr/>
          <w:p>
            <w:pPr>
              <w:pStyle w:val="Compact"/>
              <w:jc w:val="left"/>
            </w:pPr>
            <w:r>
              <w:t xml:space="preserve">A geospatial processing service that allows geospatial analysis at scale.</w:t>
            </w:r>
          </w:p>
        </w:tc>
      </w:tr>
      <w:tr>
        <w:tc>
          <w:tcPr/>
          <w:p>
            <w:pPr>
              <w:pStyle w:val="Compact"/>
              <w:jc w:val="left"/>
            </w:pPr>
            <w:r>
              <w:t xml:space="preserve">Basics</w:t>
            </w:r>
          </w:p>
        </w:tc>
        <w:tc>
          <w:tcPr/>
          <w:p>
            <w:pPr>
              <w:pStyle w:val="Compact"/>
              <w:jc w:val="left"/>
            </w:pPr>
            <w:r>
              <w:t xml:space="preserve">Image</w:t>
            </w:r>
          </w:p>
        </w:tc>
        <w:tc>
          <w:tcPr/>
          <w:p>
            <w:pPr>
              <w:pStyle w:val="Compact"/>
              <w:jc w:val="left"/>
            </w:pPr>
            <w:r>
              <w:t xml:space="preserve">Refers to raster data in GEE and has bands.</w:t>
            </w:r>
          </w:p>
        </w:tc>
      </w:tr>
      <w:tr>
        <w:tc>
          <w:tcPr/>
          <w:p>
            <w:pPr>
              <w:pStyle w:val="Compact"/>
              <w:jc w:val="left"/>
            </w:pPr>
            <w:r>
              <w:t xml:space="preserve">Basics</w:t>
            </w:r>
          </w:p>
        </w:tc>
        <w:tc>
          <w:tcPr/>
          <w:p>
            <w:pPr>
              <w:pStyle w:val="Compact"/>
              <w:jc w:val="left"/>
            </w:pPr>
            <w:r>
              <w:t xml:space="preserve">Feature</w:t>
            </w:r>
          </w:p>
        </w:tc>
        <w:tc>
          <w:tcPr/>
          <w:p>
            <w:pPr>
              <w:pStyle w:val="Compact"/>
              <w:jc w:val="left"/>
            </w:pPr>
            <w:r>
              <w:t xml:space="preserve">Refers to vector data in GEE and has geometry and attributes.</w:t>
            </w:r>
          </w:p>
        </w:tc>
      </w:tr>
      <w:tr>
        <w:tc>
          <w:tcPr/>
          <w:p>
            <w:pPr>
              <w:pStyle w:val="Compact"/>
              <w:jc w:val="left"/>
            </w:pPr>
            <w:r>
              <w:t xml:space="preserve">Basics</w:t>
            </w:r>
          </w:p>
        </w:tc>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Basics</w:t>
            </w:r>
          </w:p>
        </w:tc>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Basics</w:t>
            </w:r>
          </w:p>
        </w:tc>
        <w:tc>
          <w:tcPr/>
          <w:p>
            <w:pPr>
              <w:pStyle w:val="Compact"/>
              <w:jc w:val="left"/>
            </w:pPr>
            <w:r>
              <w:t xml:space="preserve">Proxy objects</w:t>
            </w:r>
          </w:p>
        </w:tc>
        <w:tc>
          <w:tcPr/>
          <w:p>
            <w:pPr>
              <w:pStyle w:val="Compact"/>
              <w:jc w:val="left"/>
            </w:pPr>
            <w:r>
              <w:t xml:space="preserve">GEE objects that are stored on the server and have no data in the script.</w:t>
            </w:r>
          </w:p>
        </w:tc>
      </w:tr>
      <w:tr>
        <w:tc>
          <w:tcPr/>
          <w:p>
            <w:pPr>
              <w:pStyle w:val="Compact"/>
              <w:jc w:val="left"/>
            </w:pPr>
            <w:r>
              <w:t xml:space="preserve">Objects</w:t>
            </w:r>
          </w:p>
        </w:tc>
        <w:tc>
          <w:tcPr/>
          <w:p>
            <w:pPr>
              <w:pStyle w:val="Compact"/>
              <w:jc w:val="left"/>
            </w:pPr>
            <w:r>
              <w:t xml:space="preserve">Earth Engine Objects</w:t>
            </w:r>
          </w:p>
        </w:tc>
        <w:tc>
          <w:tcPr/>
          <w:p>
            <w:pPr>
              <w:pStyle w:val="Compact"/>
              <w:jc w:val="left"/>
            </w:pPr>
            <w:r>
              <w:t xml:space="preserve">Objects in GEE starting with</w:t>
            </w:r>
            <w:r>
              <w:t xml:space="preserve"> </w:t>
            </w:r>
            <w:r>
              <w:t xml:space="preserve">“</w:t>
            </w:r>
            <w:r>
              <w:t xml:space="preserve">ee</w:t>
            </w:r>
            <w:r>
              <w:t xml:space="preserve">”</w:t>
            </w:r>
            <w:r>
              <w:t xml:space="preserve">.</w:t>
            </w:r>
          </w:p>
        </w:tc>
      </w:tr>
      <w:tr>
        <w:tc>
          <w:tcPr/>
          <w:p>
            <w:pPr>
              <w:pStyle w:val="Compact"/>
              <w:jc w:val="left"/>
            </w:pPr>
            <w:r>
              <w:t xml:space="preserve">Objects</w:t>
            </w:r>
          </w:p>
        </w:tc>
        <w:tc>
          <w:tcPr/>
          <w:p>
            <w:pPr>
              <w:pStyle w:val="Compact"/>
              <w:jc w:val="left"/>
            </w:pPr>
            <w:r>
              <w:t xml:space="preserve">Images (Rasters)</w:t>
            </w:r>
          </w:p>
        </w:tc>
        <w:tc>
          <w:tcPr/>
          <w:p>
            <w:pPr>
              <w:pStyle w:val="Compact"/>
              <w:jc w:val="left"/>
            </w:pPr>
            <w:r>
              <w:t xml:space="preserve">GEE object representing raster data with bands.</w:t>
            </w:r>
          </w:p>
        </w:tc>
      </w:tr>
      <w:tr>
        <w:tc>
          <w:tcPr/>
          <w:p>
            <w:pPr>
              <w:pStyle w:val="Compact"/>
              <w:jc w:val="left"/>
            </w:pPr>
            <w:r>
              <w:t xml:space="preserve">Objects</w:t>
            </w:r>
          </w:p>
        </w:tc>
        <w:tc>
          <w:tcPr/>
          <w:p>
            <w:pPr>
              <w:pStyle w:val="Compact"/>
              <w:jc w:val="left"/>
            </w:pPr>
            <w:r>
              <w:t xml:space="preserve">Feature</w:t>
            </w:r>
          </w:p>
        </w:tc>
        <w:tc>
          <w:tcPr/>
          <w:p>
            <w:pPr>
              <w:pStyle w:val="Compact"/>
              <w:jc w:val="left"/>
            </w:pPr>
            <w:r>
              <w:t xml:space="preserve">GEE object representing vector data with geometry and attributes.</w:t>
            </w:r>
          </w:p>
        </w:tc>
      </w:tr>
      <w:tr>
        <w:tc>
          <w:tcPr/>
          <w:p>
            <w:pPr>
              <w:pStyle w:val="Compact"/>
              <w:jc w:val="left"/>
            </w:pPr>
            <w:r>
              <w:t xml:space="preserve">Objects</w:t>
            </w:r>
          </w:p>
        </w:tc>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Objects</w:t>
            </w:r>
          </w:p>
        </w:tc>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Objects</w:t>
            </w:r>
          </w:p>
        </w:tc>
        <w:tc>
          <w:tcPr/>
          <w:p>
            <w:pPr>
              <w:pStyle w:val="Compact"/>
              <w:jc w:val="left"/>
            </w:pPr>
            <w:r>
              <w:t xml:space="preserve">Joins</w:t>
            </w:r>
          </w:p>
        </w:tc>
        <w:tc>
          <w:tcPr/>
          <w:p>
            <w:pPr>
              <w:pStyle w:val="Compact"/>
              <w:jc w:val="left"/>
            </w:pPr>
            <w:r>
              <w:t xml:space="preserve">Combining two FeatureCollections with a common property.</w:t>
            </w:r>
          </w:p>
        </w:tc>
      </w:tr>
      <w:tr>
        <w:tc>
          <w:tcPr/>
          <w:p>
            <w:pPr>
              <w:pStyle w:val="Compact"/>
              <w:jc w:val="left"/>
            </w:pPr>
            <w:r>
              <w:t xml:space="preserve">Objects</w:t>
            </w:r>
          </w:p>
        </w:tc>
        <w:tc>
          <w:tcPr/>
          <w:p>
            <w:pPr>
              <w:pStyle w:val="Compact"/>
              <w:jc w:val="left"/>
            </w:pPr>
            <w:r>
              <w:t xml:space="preserve">Arrays</w:t>
            </w:r>
          </w:p>
        </w:tc>
        <w:tc>
          <w:tcPr/>
          <w:p>
            <w:pPr>
              <w:pStyle w:val="Compact"/>
              <w:jc w:val="left"/>
            </w:pPr>
            <w:r>
              <w:t xml:space="preserve">Used to store and manipulate lists of values.</w:t>
            </w:r>
          </w:p>
        </w:tc>
      </w:tr>
      <w:tr>
        <w:tc>
          <w:tcPr/>
          <w:p>
            <w:pPr>
              <w:pStyle w:val="Compact"/>
              <w:jc w:val="left"/>
            </w:pPr>
            <w:r>
              <w:t xml:space="preserve">Objects</w:t>
            </w:r>
          </w:p>
        </w:tc>
        <w:tc>
          <w:tcPr/>
          <w:p>
            <w:pPr>
              <w:pStyle w:val="Compact"/>
              <w:jc w:val="left"/>
            </w:pPr>
            <w:r>
              <w:t xml:space="preserve">Chart</w:t>
            </w:r>
          </w:p>
        </w:tc>
        <w:tc>
          <w:tcPr/>
          <w:p>
            <w:pPr>
              <w:pStyle w:val="Compact"/>
              <w:jc w:val="left"/>
            </w:pPr>
            <w:r>
              <w:t xml:space="preserve">Used to visualize data in GEE.</w:t>
            </w:r>
          </w:p>
        </w:tc>
      </w:tr>
      <w:tr>
        <w:tc>
          <w:tcPr/>
          <w:p>
            <w:pPr>
              <w:pStyle w:val="Compact"/>
              <w:jc w:val="left"/>
            </w:pPr>
            <w:r>
              <w:t xml:space="preserve">Geometry</w:t>
            </w:r>
          </w:p>
        </w:tc>
        <w:tc>
          <w:tcPr/>
          <w:p>
            <w:pPr>
              <w:pStyle w:val="Compact"/>
              <w:jc w:val="left"/>
            </w:pPr>
            <w:r>
              <w:t xml:space="preserve">Point</w:t>
            </w:r>
          </w:p>
        </w:tc>
        <w:tc>
          <w:tcPr/>
          <w:p>
            <w:pPr>
              <w:pStyle w:val="Compact"/>
              <w:jc w:val="left"/>
            </w:pPr>
            <w:r>
              <w:t xml:space="preserve">A single location represented by its longitude and latitude.</w:t>
            </w:r>
          </w:p>
        </w:tc>
      </w:tr>
      <w:tr>
        <w:tc>
          <w:tcPr/>
          <w:p>
            <w:pPr>
              <w:pStyle w:val="Compact"/>
              <w:jc w:val="left"/>
            </w:pPr>
            <w:r>
              <w:t xml:space="preserve">Geometry</w:t>
            </w:r>
          </w:p>
        </w:tc>
        <w:tc>
          <w:tcPr/>
          <w:p>
            <w:pPr>
              <w:pStyle w:val="Compact"/>
              <w:jc w:val="left"/>
            </w:pPr>
            <w:r>
              <w:t xml:space="preserve">Line</w:t>
            </w:r>
          </w:p>
        </w:tc>
        <w:tc>
          <w:tcPr/>
          <w:p>
            <w:pPr>
              <w:pStyle w:val="Compact"/>
              <w:jc w:val="left"/>
            </w:pPr>
            <w:r>
              <w:t xml:space="preserve">A series of connected points representing a linear feature.</w:t>
            </w:r>
          </w:p>
        </w:tc>
      </w:tr>
      <w:tr>
        <w:tc>
          <w:tcPr/>
          <w:p>
            <w:pPr>
              <w:pStyle w:val="Compact"/>
              <w:jc w:val="left"/>
            </w:pPr>
            <w:r>
              <w:t xml:space="preserve">Geometry</w:t>
            </w:r>
          </w:p>
        </w:tc>
        <w:tc>
          <w:tcPr/>
          <w:p>
            <w:pPr>
              <w:pStyle w:val="Compact"/>
              <w:jc w:val="left"/>
            </w:pPr>
            <w:r>
              <w:t xml:space="preserve">Polygon</w:t>
            </w:r>
          </w:p>
        </w:tc>
        <w:tc>
          <w:tcPr/>
          <w:p>
            <w:pPr>
              <w:pStyle w:val="Compact"/>
              <w:jc w:val="left"/>
            </w:pPr>
            <w:r>
              <w:t xml:space="preserve">A closed shape with three or more sides, represented by a series of connected lines forming a closed loop.</w:t>
            </w:r>
          </w:p>
        </w:tc>
      </w:tr>
      <w:tr>
        <w:tc>
          <w:tcPr/>
          <w:p>
            <w:pPr>
              <w:pStyle w:val="Compact"/>
              <w:jc w:val="left"/>
            </w:pPr>
            <w:r>
              <w:t xml:space="preserve">Geometry</w:t>
            </w:r>
          </w:p>
        </w:tc>
        <w:tc>
          <w:tcPr/>
          <w:p>
            <w:pPr>
              <w:pStyle w:val="Compact"/>
              <w:jc w:val="left"/>
            </w:pPr>
            <w:r>
              <w:t xml:space="preserve">MultiPolygon</w:t>
            </w:r>
          </w:p>
        </w:tc>
        <w:tc>
          <w:tcPr/>
          <w:p>
            <w:pPr>
              <w:pStyle w:val="Compact"/>
              <w:jc w:val="left"/>
            </w:pPr>
            <w:r>
              <w:t xml:space="preserve">A collection of polygons, where each polygon is represented as a list of coordinate tuples defining its vertices.</w:t>
            </w:r>
          </w:p>
        </w:tc>
      </w:tr>
      <w:tr>
        <w:tc>
          <w:tcPr/>
          <w:p>
            <w:pPr>
              <w:pStyle w:val="Compact"/>
              <w:jc w:val="left"/>
            </w:pPr>
            <w:r>
              <w:t xml:space="preserve">Geometry</w:t>
            </w:r>
          </w:p>
        </w:tc>
        <w:tc>
          <w:tcPr/>
          <w:p>
            <w:pPr>
              <w:pStyle w:val="Compact"/>
              <w:jc w:val="left"/>
            </w:pPr>
            <w:r>
              <w:t xml:space="preserve">MultiGeometry</w:t>
            </w:r>
          </w:p>
        </w:tc>
        <w:tc>
          <w:tcPr/>
          <w:p>
            <w:pPr>
              <w:pStyle w:val="Compact"/>
              <w:jc w:val="left"/>
            </w:pPr>
            <w:r>
              <w:t xml:space="preserve">A collection of different types of geometries.</w:t>
            </w:r>
          </w:p>
        </w:tc>
      </w:tr>
      <w:tr>
        <w:tc>
          <w:tcPr/>
          <w:p>
            <w:pPr>
              <w:pStyle w:val="Compact"/>
              <w:jc w:val="left"/>
            </w:pPr>
            <w:r>
              <w:t xml:space="preserve">Processes</w:t>
            </w:r>
          </w:p>
        </w:tc>
        <w:tc>
          <w:tcPr/>
          <w:p>
            <w:pPr>
              <w:pStyle w:val="Compact"/>
              <w:jc w:val="left"/>
            </w:pPr>
            <w:r>
              <w:t xml:space="preserve">Reducing</w:t>
            </w:r>
          </w:p>
        </w:tc>
        <w:tc>
          <w:tcPr/>
          <w:p>
            <w:pPr>
              <w:pStyle w:val="Compact"/>
              <w:jc w:val="left"/>
            </w:pPr>
            <w:r>
              <w:t xml:space="preserve">Summarizing data over a specified dimension or property.</w:t>
            </w:r>
          </w:p>
        </w:tc>
      </w:tr>
      <w:tr>
        <w:tc>
          <w:tcPr/>
          <w:p>
            <w:pPr>
              <w:pStyle w:val="Compact"/>
              <w:jc w:val="left"/>
            </w:pPr>
            <w:r>
              <w:t xml:space="preserve">Processes</w:t>
            </w:r>
          </w:p>
        </w:tc>
        <w:tc>
          <w:tcPr/>
          <w:p>
            <w:pPr>
              <w:pStyle w:val="Compact"/>
              <w:jc w:val="left"/>
            </w:pPr>
            <w:r>
              <w:t xml:space="preserve">Filtering</w:t>
            </w:r>
          </w:p>
        </w:tc>
        <w:tc>
          <w:tcPr/>
          <w:p>
            <w:pPr>
              <w:pStyle w:val="Compact"/>
              <w:jc w:val="left"/>
            </w:pPr>
            <w:r>
              <w:t xml:space="preserve">Reducing data to a specific subset based on a specified condition.</w:t>
            </w:r>
          </w:p>
        </w:tc>
      </w:tr>
      <w:tr>
        <w:tc>
          <w:tcPr/>
          <w:p>
            <w:pPr>
              <w:pStyle w:val="Compact"/>
              <w:jc w:val="left"/>
            </w:pPr>
            <w:r>
              <w:t xml:space="preserve">Processes</w:t>
            </w:r>
          </w:p>
        </w:tc>
        <w:tc>
          <w:tcPr/>
          <w:p>
            <w:pPr>
              <w:pStyle w:val="Compact"/>
              <w:jc w:val="left"/>
            </w:pPr>
            <w:r>
              <w:t xml:space="preserve">Mapping</w:t>
            </w:r>
          </w:p>
        </w:tc>
        <w:tc>
          <w:tcPr/>
          <w:p>
            <w:pPr>
              <w:pStyle w:val="Compact"/>
              <w:jc w:val="left"/>
            </w:pPr>
            <w:r>
              <w:t xml:space="preserve">Applying a function to every element of a collection in GEE.</w:t>
            </w:r>
          </w:p>
        </w:tc>
      </w:tr>
      <w:tr>
        <w:tc>
          <w:tcPr/>
          <w:p>
            <w:pPr>
              <w:pStyle w:val="Compact"/>
              <w:jc w:val="left"/>
            </w:pPr>
            <w:r>
              <w:t xml:space="preserve">Processes</w:t>
            </w:r>
          </w:p>
        </w:tc>
        <w:tc>
          <w:tcPr/>
          <w:p>
            <w:pPr>
              <w:pStyle w:val="Compact"/>
              <w:jc w:val="left"/>
            </w:pPr>
            <w:r>
              <w:t xml:space="preserve">Scaling</w:t>
            </w:r>
          </w:p>
        </w:tc>
        <w:tc>
          <w:tcPr/>
          <w:p>
            <w:pPr>
              <w:pStyle w:val="Compact"/>
              <w:jc w:val="left"/>
            </w:pPr>
            <w:r>
              <w:t xml:space="preserve">Refers to the pixel resolution in GEE. The scale is set by the output, not the input, and Earth Engine selects the pyramid with the closest scale to analysis.</w:t>
            </w:r>
          </w:p>
        </w:tc>
      </w:tr>
      <w:tr>
        <w:tc>
          <w:tcPr/>
          <w:p>
            <w:pPr>
              <w:pStyle w:val="Compact"/>
              <w:jc w:val="left"/>
            </w:pPr>
            <w:r>
              <w:t xml:space="preserve">Client/Server</w:t>
            </w:r>
          </w:p>
        </w:tc>
        <w:tc>
          <w:tcPr/>
          <w:p>
            <w:pPr>
              <w:pStyle w:val="Compact"/>
              <w:jc w:val="left"/>
            </w:pPr>
            <w:r>
              <w:t xml:space="preserve">Client Side</w:t>
            </w:r>
          </w:p>
        </w:tc>
        <w:tc>
          <w:tcPr/>
          <w:p>
            <w:pPr>
              <w:pStyle w:val="Compact"/>
              <w:jc w:val="left"/>
            </w:pPr>
            <w:r>
              <w:t xml:space="preserve">Refers to the browser side of GEE.</w:t>
            </w:r>
          </w:p>
        </w:tc>
      </w:tr>
      <w:tr>
        <w:tc>
          <w:tcPr/>
          <w:p>
            <w:pPr>
              <w:pStyle w:val="Compact"/>
              <w:jc w:val="left"/>
            </w:pPr>
            <w:r>
              <w:t xml:space="preserve">Client/Server</w:t>
            </w:r>
          </w:p>
        </w:tc>
        <w:tc>
          <w:tcPr/>
          <w:p>
            <w:pPr>
              <w:pStyle w:val="Compact"/>
              <w:jc w:val="left"/>
            </w:pPr>
            <w:r>
              <w:t xml:space="preserve">Server Side</w:t>
            </w:r>
          </w:p>
        </w:tc>
        <w:tc>
          <w:tcPr/>
          <w:p>
            <w:pPr>
              <w:pStyle w:val="Compact"/>
              <w:jc w:val="left"/>
            </w:pPr>
            <w:r>
              <w:t xml:space="preserve">Refers to the side of GEE where data is stored.</w:t>
            </w:r>
          </w:p>
        </w:tc>
      </w:tr>
      <w:tr>
        <w:tc>
          <w:tcPr/>
          <w:p>
            <w:pPr>
              <w:pStyle w:val="Compact"/>
              <w:jc w:val="left"/>
            </w:pPr>
            <w:r>
              <w:t xml:space="preserve">Client/Server</w:t>
            </w:r>
          </w:p>
        </w:tc>
        <w:tc>
          <w:tcPr/>
          <w:p>
            <w:pPr>
              <w:pStyle w:val="Compact"/>
              <w:jc w:val="left"/>
            </w:pPr>
            <w:r>
              <w:t xml:space="preserve">Looping</w:t>
            </w:r>
          </w:p>
        </w:tc>
        <w:tc>
          <w:tcPr/>
          <w:p>
            <w:pPr>
              <w:pStyle w:val="Compact"/>
              <w:jc w:val="left"/>
            </w:pPr>
            <w:r>
              <w:t xml:space="preserve">Looping is not recommended for objects on the server side.</w:t>
            </w:r>
          </w:p>
        </w:tc>
      </w:tr>
      <w:tr>
        <w:tc>
          <w:tcPr/>
          <w:p>
            <w:pPr>
              <w:pStyle w:val="Compact"/>
              <w:jc w:val="left"/>
            </w:pPr>
            <w:r>
              <w:t xml:space="preserve">Client/Server</w:t>
            </w:r>
          </w:p>
        </w:tc>
        <w:tc>
          <w:tcPr/>
          <w:p>
            <w:pPr>
              <w:pStyle w:val="Compact"/>
              <w:jc w:val="left"/>
            </w:pPr>
            <w:r>
              <w:t xml:space="preserve">Mapping</w:t>
            </w:r>
          </w:p>
        </w:tc>
        <w:tc>
          <w:tcPr/>
          <w:p>
            <w:pPr>
              <w:pStyle w:val="Compact"/>
              <w:jc w:val="left"/>
            </w:pPr>
            <w:r>
              <w:t xml:space="preserve">Instead of loops, mapping is used in GEE to apply a function to everything on the server.</w:t>
            </w:r>
          </w:p>
        </w:tc>
      </w:tr>
    </w:tbl>
    <w:bookmarkStart w:id="67" w:name="gee-basics"/>
    <w:p>
      <w:pPr>
        <w:pStyle w:val="Heading3"/>
      </w:pPr>
      <w:r>
        <w:t xml:space="preserve">5.1.1 GEE Basics</w:t>
      </w:r>
    </w:p>
    <w:p>
      <w:pPr>
        <w:pStyle w:val="FirstParagraph"/>
      </w:pPr>
      <w:r>
        <w:t xml:space="preserve">JavaScript, where objects are dictionaries:</w:t>
      </w:r>
    </w:p>
    <w:p>
      <w:pPr>
        <w:numPr>
          <w:ilvl w:val="0"/>
          <w:numId w:val="1018"/>
        </w:numPr>
        <w:pStyle w:val="Compact"/>
      </w:pPr>
      <w:r>
        <w:t xml:space="preserve">We have ee (EarthEngine), a powerful package. Anything starting with ee (proxy objects) are stored on the server.</w:t>
      </w:r>
    </w:p>
    <w:p>
      <w:pPr>
        <w:numPr>
          <w:ilvl w:val="0"/>
          <w:numId w:val="1018"/>
        </w:numPr>
        <w:pStyle w:val="Compact"/>
      </w:pPr>
      <w:r>
        <w:t xml:space="preserve">Problems:</w:t>
      </w:r>
    </w:p>
    <w:p>
      <w:pPr>
        <w:numPr>
          <w:ilvl w:val="1"/>
          <w:numId w:val="1019"/>
        </w:numPr>
        <w:pStyle w:val="Compact"/>
      </w:pPr>
      <w:r>
        <w:t xml:space="preserve">We don’t iterate the data on the server; instead, we map (using a mapping function) them into objects (variables) so we only load them once.</w:t>
      </w:r>
    </w:p>
    <w:p>
      <w:pPr>
        <w:numPr>
          <w:ilvl w:val="1"/>
          <w:numId w:val="1019"/>
        </w:numPr>
        <w:pStyle w:val="Compact"/>
      </w:pPr>
      <w:r>
        <w:t xml:space="preserve">There are also some sort of server-wide functions.</w:t>
      </w:r>
    </w:p>
    <w:p>
      <w:pPr>
        <w:numPr>
          <w:ilvl w:val="1"/>
          <w:numId w:val="1019"/>
        </w:numPr>
        <w:pStyle w:val="Compact"/>
      </w:pPr>
      <w:r>
        <w:t xml:space="preserve">Avoid using loops in GEE on the server-side, as mapping can automatically detect the number of loops needed.</w:t>
      </w:r>
    </w:p>
    <w:p>
      <w:pPr>
        <w:pStyle w:val="FirstParagraph"/>
      </w:pPr>
      <w:r>
        <w:t xml:space="preserve">Scale:</w:t>
      </w:r>
    </w:p>
    <w:p>
      <w:pPr>
        <w:numPr>
          <w:ilvl w:val="0"/>
          <w:numId w:val="1020"/>
        </w:numPr>
        <w:pStyle w:val="Compact"/>
      </w:pPr>
      <w:r>
        <w:t xml:space="preserve">Pixel resolution, set by the output.</w:t>
      </w:r>
    </w:p>
    <w:p>
      <w:pPr>
        <w:numPr>
          <w:ilvl w:val="0"/>
          <w:numId w:val="1020"/>
        </w:numPr>
        <w:pStyle w:val="Compact"/>
      </w:pPr>
      <w:r>
        <w:t xml:space="preserve">GEE does resampling, aggregating your input to a 256*256, mainly down-sampling.</w:t>
      </w:r>
    </w:p>
    <w:bookmarkEnd w:id="67"/>
    <w:bookmarkStart w:id="68" w:name="gee-objects"/>
    <w:p>
      <w:pPr>
        <w:pStyle w:val="Heading3"/>
      </w:pPr>
      <w:r>
        <w:t xml:space="preserve">5.1.2 GEE Objects</w:t>
      </w:r>
    </w:p>
    <w:p>
      <w:pPr>
        <w:pStyle w:val="FirstParagraph"/>
      </w:pPr>
      <w:r>
        <w:t xml:space="preserve">Objects:</w:t>
      </w:r>
    </w:p>
    <w:p>
      <w:pPr>
        <w:numPr>
          <w:ilvl w:val="0"/>
          <w:numId w:val="1021"/>
        </w:numPr>
        <w:pStyle w:val="Compact"/>
      </w:pPr>
      <w:r>
        <w:t xml:space="preserve">Images (Rasters), geometry, ImageCol, features, featureCol, joins, arrays, chart.</w:t>
      </w:r>
    </w:p>
    <w:bookmarkEnd w:id="68"/>
    <w:bookmarkStart w:id="69" w:name="gee-processes-and-applicationsoutputs"/>
    <w:p>
      <w:pPr>
        <w:pStyle w:val="Heading3"/>
      </w:pPr>
      <w:r>
        <w:t xml:space="preserve">5.1.3 GEE Processes and Applications/Outputs</w:t>
      </w:r>
    </w:p>
    <w:p>
      <w:pPr>
        <w:pStyle w:val="FirstParagraph"/>
      </w:pPr>
      <w:r>
        <w:t xml:space="preserve">GEE applications:</w:t>
      </w:r>
    </w:p>
    <w:p>
      <w:pPr>
        <w:numPr>
          <w:ilvl w:val="0"/>
          <w:numId w:val="1022"/>
        </w:numPr>
        <w:pStyle w:val="Compact"/>
      </w:pPr>
      <w:r>
        <w:t xml:space="preserve">Reducing types.</w:t>
      </w:r>
    </w:p>
    <w:p>
      <w:pPr>
        <w:numPr>
          <w:ilvl w:val="0"/>
          <w:numId w:val="1022"/>
        </w:numPr>
        <w:pStyle w:val="Compact"/>
      </w:pPr>
      <w:r>
        <w:t xml:space="preserve">Different to filterBounds() that filters the area of interest, to do zonal statistics, we have reduceRegion(), where regions are subcategories of the area of interest.</w:t>
      </w:r>
    </w:p>
    <w:p>
      <w:pPr>
        <w:numPr>
          <w:ilvl w:val="0"/>
          <w:numId w:val="1022"/>
        </w:numPr>
        <w:pStyle w:val="Compact"/>
      </w:pPr>
      <w:r>
        <w:t xml:space="preserve">Also, we have reduceNeighborhood(), which is a bit like a kind of image enhancement.</w:t>
      </w:r>
    </w:p>
    <w:p>
      <w:pPr>
        <w:pStyle w:val="FirstParagraph"/>
      </w:pPr>
      <w:r>
        <w:t xml:space="preserve">Linear Regressions:</w:t>
      </w:r>
    </w:p>
    <w:p>
      <w:pPr>
        <w:numPr>
          <w:ilvl w:val="0"/>
          <w:numId w:val="1023"/>
        </w:numPr>
        <w:pStyle w:val="Compact"/>
      </w:pPr>
      <w:r>
        <w:t xml:space="preserve">In a scenario of visualising precipitation, we can do a multivariate multiple linear regression where both independent variables (time) and dependent (precip, temp) variables are multiple.</w:t>
      </w:r>
    </w:p>
    <w:p>
      <w:pPr>
        <w:numPr>
          <w:ilvl w:val="0"/>
          <w:numId w:val="1023"/>
        </w:numPr>
        <w:pStyle w:val="Compact"/>
      </w:pPr>
      <w:r>
        <w:t xml:space="preserve">Something about constant bound.</w:t>
      </w:r>
    </w:p>
    <w:p>
      <w:pPr>
        <w:pStyle w:val="FirstParagraph"/>
      </w:pPr>
      <w:r>
        <w:t xml:space="preserve">Joins:</w:t>
      </w:r>
    </w:p>
    <w:p>
      <w:pPr>
        <w:numPr>
          <w:ilvl w:val="0"/>
          <w:numId w:val="1024"/>
        </w:numPr>
        <w:pStyle w:val="Compact"/>
      </w:pPr>
      <w:r>
        <w:t xml:space="preserve">In GEE, everything, e.g. within a buffer, intersect, etc. needs the mediation of Join (apply()).</w:t>
      </w:r>
    </w:p>
    <w:p>
      <w:pPr>
        <w:numPr>
          <w:ilvl w:val="0"/>
          <w:numId w:val="1024"/>
        </w:numPr>
        <w:pStyle w:val="Compact"/>
      </w:pPr>
      <w:r>
        <w:t xml:space="preserve">To perform joins, we need to put data into Filter().</w:t>
      </w:r>
    </w:p>
    <w:p>
      <w:pPr>
        <w:pStyle w:val="FirstParagraph"/>
      </w:pPr>
      <w:r>
        <w:t xml:space="preserve">Classifiers:</w:t>
      </w:r>
    </w:p>
    <w:p>
      <w:pPr>
        <w:numPr>
          <w:ilvl w:val="0"/>
          <w:numId w:val="1025"/>
        </w:numPr>
        <w:pStyle w:val="Compact"/>
      </w:pPr>
      <w:r>
        <w:t xml:space="preserve">Per-pixel</w:t>
      </w:r>
    </w:p>
    <w:p>
      <w:pPr>
        <w:numPr>
          <w:ilvl w:val="0"/>
          <w:numId w:val="1025"/>
        </w:numPr>
        <w:pStyle w:val="Compact"/>
      </w:pPr>
      <w:r>
        <w:t xml:space="preserve">sub-pixel</w:t>
      </w:r>
    </w:p>
    <w:p>
      <w:pPr>
        <w:pStyle w:val="FirstParagraph"/>
      </w:pPr>
      <w:r>
        <w:t xml:space="preserve">Table 2: GEE Processes and Applications/Outputs</w:t>
      </w:r>
    </w:p>
    <w:tbl>
      <w:tblPr>
        <w:tblStyle w:val="Table"/>
        <w:tblW w:type="pct" w:w="5000"/>
        <w:tblLook w:firstRow="1" w:lastRow="0" w:firstColumn="0" w:lastColumn="0" w:noHBand="0" w:noVBand="0" w:val="0020"/>
      </w:tblPr>
      <w:tblGrid>
        <w:gridCol w:w="1001"/>
        <w:gridCol w:w="6918"/>
      </w:tblGrid>
      <w:tr>
        <w:trPr>
          <w:tblHeader w:val="true"/>
        </w:trPr>
        <w:tc>
          <w:tcPr/>
          <w:p>
            <w:pPr>
              <w:pStyle w:val="Compact"/>
              <w:jc w:val="left"/>
            </w:pPr>
            <w:r>
              <w:t xml:space="preserve">Process</w:t>
            </w:r>
          </w:p>
        </w:tc>
        <w:tc>
          <w:tcPr/>
          <w:p>
            <w:pPr>
              <w:pStyle w:val="Compact"/>
              <w:jc w:val="left"/>
            </w:pPr>
            <w:r>
              <w:t xml:space="preserve">Description</w:t>
            </w:r>
          </w:p>
        </w:tc>
      </w:tr>
      <w:tr>
        <w:tc>
          <w:tcPr/>
          <w:p>
            <w:pPr>
              <w:pStyle w:val="Compact"/>
              <w:jc w:val="left"/>
            </w:pPr>
            <w:r>
              <w:t xml:space="preserve">Geometry operations</w:t>
            </w:r>
          </w:p>
        </w:tc>
        <w:tc>
          <w:tcPr/>
          <w:p>
            <w:pPr>
              <w:pStyle w:val="Compact"/>
              <w:jc w:val="left"/>
            </w:pPr>
            <w:r>
              <w:t xml:space="preserve">Spatial operations such as union, intersection, buffer, and distance analysis</w:t>
            </w:r>
          </w:p>
        </w:tc>
      </w:tr>
      <w:tr>
        <w:tc>
          <w:tcPr/>
          <w:p>
            <w:pPr>
              <w:pStyle w:val="Compact"/>
              <w:jc w:val="left"/>
            </w:pPr>
            <w:r>
              <w:t xml:space="preserve">Joins</w:t>
            </w:r>
          </w:p>
        </w:tc>
        <w:tc>
          <w:tcPr/>
          <w:p>
            <w:pPr>
              <w:pStyle w:val="Compact"/>
              <w:jc w:val="left"/>
            </w:pPr>
            <w:r>
              <w:t xml:space="preserve">Combining two feature collections based on a shared attribute value</w:t>
            </w:r>
          </w:p>
        </w:tc>
      </w:tr>
      <w:tr>
        <w:tc>
          <w:tcPr/>
          <w:p>
            <w:pPr>
              <w:pStyle w:val="Compact"/>
              <w:jc w:val="left"/>
            </w:pPr>
            <w:r>
              <w:t xml:space="preserve">Zonal statistics</w:t>
            </w:r>
          </w:p>
        </w:tc>
        <w:tc>
          <w:tcPr/>
          <w:p>
            <w:pPr>
              <w:pStyle w:val="Compact"/>
              <w:jc w:val="left"/>
            </w:pPr>
            <w:r>
              <w:t xml:space="preserve">Computing statistics for a region or set of regions such as mean, median, and mode of pixel values within a feature or a collection of features</w:t>
            </w:r>
          </w:p>
        </w:tc>
      </w:tr>
      <w:tr>
        <w:tc>
          <w:tcPr/>
          <w:p>
            <w:pPr>
              <w:pStyle w:val="Compact"/>
              <w:jc w:val="left"/>
            </w:pPr>
            <w:r>
              <w:t xml:space="preserve">Filtering</w:t>
            </w:r>
          </w:p>
        </w:tc>
        <w:tc>
          <w:tcPr/>
          <w:p>
            <w:pPr>
              <w:pStyle w:val="Compact"/>
              <w:jc w:val="left"/>
            </w:pPr>
            <w:r>
              <w:t xml:space="preserve">Filtering of images or specific values based on criteria such as date range, location, and attribute value</w:t>
            </w:r>
          </w:p>
        </w:tc>
      </w:tr>
      <w:tr>
        <w:tc>
          <w:tcPr/>
          <w:p>
            <w:pPr>
              <w:pStyle w:val="Compact"/>
              <w:jc w:val="left"/>
            </w:pPr>
            <w:r>
              <w:t xml:space="preserve">Machine learning</w:t>
            </w:r>
          </w:p>
        </w:tc>
        <w:tc>
          <w:tcPr/>
          <w:p>
            <w:pPr>
              <w:pStyle w:val="Compact"/>
              <w:jc w:val="left"/>
            </w:pPr>
            <w:r>
              <w:t xml:space="preserve">Using statistical and machine learning algorithms for classification, clustering, and prediction tasks</w:t>
            </w:r>
          </w:p>
        </w:tc>
      </w:tr>
      <w:tr>
        <w:tc>
          <w:tcPr/>
          <w:p>
            <w:pPr>
              <w:pStyle w:val="Compact"/>
              <w:jc w:val="left"/>
            </w:pPr>
            <w:r>
              <w:t xml:space="preserve">Deep learning</w:t>
            </w:r>
          </w:p>
        </w:tc>
        <w:tc>
          <w:tcPr/>
          <w:p>
            <w:pPr>
              <w:pStyle w:val="Compact"/>
              <w:jc w:val="left"/>
            </w:pPr>
            <w:r>
              <w:t xml:space="preserve">A subset of machine, using Deep Neural Networks</w:t>
            </w:r>
          </w:p>
        </w:tc>
      </w:tr>
    </w:tbl>
    <w:bookmarkEnd w:id="69"/>
    <w:bookmarkStart w:id="70" w:name="advantages-and-limitations"/>
    <w:p>
      <w:pPr>
        <w:pStyle w:val="Heading3"/>
      </w:pPr>
      <w:r>
        <w:t xml:space="preserve">5.1.4 Advantages and Limitations</w:t>
      </w:r>
    </w:p>
    <w:tbl>
      <w:tblPr>
        <w:tblStyle w:val="Table"/>
        <w:tblW w:type="pct" w:w="5000"/>
        <w:tblLook w:firstRow="1" w:lastRow="0" w:firstColumn="0" w:lastColumn="0" w:noHBand="0" w:noVBand="0" w:val="0020"/>
      </w:tblPr>
      <w:tblGrid>
        <w:gridCol w:w="3834"/>
        <w:gridCol w:w="4085"/>
      </w:tblGrid>
      <w:tr>
        <w:trPr>
          <w:tblHeader w:val="true"/>
        </w:trPr>
        <w:tc>
          <w:tcPr/>
          <w:p>
            <w:pPr>
              <w:pStyle w:val="Compact"/>
              <w:jc w:val="left"/>
            </w:pPr>
            <w:r>
              <w:t xml:space="preserve">Pros</w:t>
            </w:r>
          </w:p>
        </w:tc>
        <w:tc>
          <w:tcPr/>
          <w:p>
            <w:pPr>
              <w:pStyle w:val="Compact"/>
              <w:jc w:val="left"/>
            </w:pPr>
            <w:r>
              <w:t xml:space="preserve">Cons</w:t>
            </w:r>
          </w:p>
        </w:tc>
      </w:tr>
      <w:tr>
        <w:tc>
          <w:tcPr/>
          <w:p>
            <w:pPr>
              <w:pStyle w:val="Compact"/>
              <w:jc w:val="left"/>
            </w:pPr>
            <w:r>
              <w:t xml:space="preserve">1. Large-scale data processing</w:t>
            </w:r>
          </w:p>
        </w:tc>
        <w:tc>
          <w:tcPr/>
          <w:p>
            <w:pPr>
              <w:pStyle w:val="Compact"/>
              <w:jc w:val="left"/>
            </w:pPr>
            <w:r>
              <w:t xml:space="preserve">1. Limited to Google’s data catalog</w:t>
            </w:r>
          </w:p>
        </w:tc>
      </w:tr>
      <w:tr>
        <w:tc>
          <w:tcPr/>
          <w:p>
            <w:pPr>
              <w:pStyle w:val="Compact"/>
              <w:jc w:val="left"/>
            </w:pPr>
            <w:r>
              <w:t xml:space="preserve">2. Access to vast satellite imagery library</w:t>
            </w:r>
          </w:p>
        </w:tc>
        <w:tc>
          <w:tcPr/>
          <w:p>
            <w:pPr>
              <w:pStyle w:val="Compact"/>
              <w:jc w:val="left"/>
            </w:pPr>
            <w:r>
              <w:t xml:space="preserve">2. Steeper learning curve for beginners</w:t>
            </w:r>
          </w:p>
        </w:tc>
      </w:tr>
      <w:tr>
        <w:tc>
          <w:tcPr/>
          <w:p>
            <w:pPr>
              <w:pStyle w:val="Compact"/>
              <w:jc w:val="left"/>
            </w:pPr>
            <w:r>
              <w:t xml:space="preserve">3. Real-time data analysis capabilities</w:t>
            </w:r>
          </w:p>
        </w:tc>
        <w:tc>
          <w:tcPr/>
          <w:p>
            <w:pPr>
              <w:pStyle w:val="Compact"/>
              <w:jc w:val="left"/>
            </w:pPr>
            <w:r>
              <w:t xml:space="preserve">3. Requires coding skills (JavaScript, Python)</w:t>
            </w:r>
          </w:p>
        </w:tc>
      </w:tr>
      <w:tr>
        <w:tc>
          <w:tcPr/>
          <w:p>
            <w:pPr>
              <w:pStyle w:val="Compact"/>
              <w:jc w:val="left"/>
            </w:pPr>
            <w:r>
              <w:t xml:space="preserve">4. Cloud-based platform</w:t>
            </w:r>
          </w:p>
        </w:tc>
        <w:tc>
          <w:tcPr/>
          <w:p>
            <w:pPr>
              <w:pStyle w:val="Compact"/>
              <w:jc w:val="left"/>
            </w:pPr>
            <w:r>
              <w:t xml:space="preserve">4. Limited customization options</w:t>
            </w:r>
          </w:p>
        </w:tc>
      </w:tr>
      <w:tr>
        <w:tc>
          <w:tcPr/>
          <w:p>
            <w:pPr>
              <w:pStyle w:val="Compact"/>
              <w:jc w:val="left"/>
            </w:pPr>
            <w:r>
              <w:t xml:space="preserve">5. Free for non-commercial use</w:t>
            </w:r>
          </w:p>
        </w:tc>
        <w:tc>
          <w:tcPr/>
          <w:p>
            <w:pPr>
              <w:pStyle w:val="Compact"/>
              <w:jc w:val="left"/>
            </w:pPr>
            <w:r>
              <w:t xml:space="preserve">5. Data export restrictions</w:t>
            </w:r>
          </w:p>
        </w:tc>
      </w:tr>
      <w:tr>
        <w:tc>
          <w:tcPr/>
          <w:p>
            <w:pPr>
              <w:pStyle w:val="Compact"/>
              <w:jc w:val="left"/>
            </w:pPr>
            <w:r>
              <w:t xml:space="preserve">6. Easy data sharing and collaboration</w:t>
            </w:r>
          </w:p>
        </w:tc>
        <w:tc>
          <w:tcPr/>
          <w:p>
            <w:pPr>
              <w:pStyle w:val="Compact"/>
              <w:jc w:val="left"/>
            </w:pPr>
            <w:r>
              <w:t xml:space="preserve">6. Dependent on internet connectivity</w:t>
            </w:r>
          </w:p>
        </w:tc>
      </w:tr>
    </w:tbl>
    <w:p>
      <w:pPr>
        <w:pStyle w:val="BodyText"/>
      </w:pPr>
      <w:r>
        <w:t xml:space="preserve">*No support for phase data, needs SNAP.</w:t>
      </w:r>
    </w:p>
    <w:bookmarkEnd w:id="70"/>
    <w:bookmarkStart w:id="71" w:name="trend"/>
    <w:p>
      <w:pPr>
        <w:pStyle w:val="Heading3"/>
      </w:pPr>
      <w:r>
        <w:t xml:space="preserve">5.1.5 Trend</w:t>
      </w:r>
    </w:p>
    <w:p>
      <w:pPr>
        <w:pStyle w:val="FirstParagraph"/>
      </w:pPr>
      <w:r>
        <w:t xml:space="preserve">See also Section Application for details and references.</w:t>
      </w:r>
    </w:p>
    <w:p>
      <w:pPr>
        <w:numPr>
          <w:ilvl w:val="0"/>
          <w:numId w:val="1026"/>
        </w:numPr>
        <w:pStyle w:val="Compact"/>
      </w:pPr>
      <w:r>
        <w:t xml:space="preserve">Enhancement user interface: GEE might introduce a more user-friendly interface to lower the entry barrier for beginners and non-programmers, making it more accessible to a wider audience.</w:t>
      </w:r>
    </w:p>
    <w:p>
      <w:pPr>
        <w:numPr>
          <w:ilvl w:val="0"/>
          <w:numId w:val="1026"/>
        </w:numPr>
        <w:pStyle w:val="Compact"/>
      </w:pPr>
      <w:r>
        <w:t xml:space="preserve">Integration with machine learning and AI: GEE could expand its integration with advanced machine learning and AI algorithms, enabling users to derive more sophisticated insights from geospatial data.</w:t>
      </w:r>
    </w:p>
    <w:p>
      <w:pPr>
        <w:numPr>
          <w:ilvl w:val="0"/>
          <w:numId w:val="1026"/>
        </w:numPr>
        <w:pStyle w:val="Compact"/>
      </w:pPr>
      <w:r>
        <w:t xml:space="preserve">Customisable solutions: GEE may introduce more customization options for users, allowing them to develop tailored geospatial analysis tools and applications.</w:t>
      </w:r>
    </w:p>
    <w:p>
      <w:pPr>
        <w:numPr>
          <w:ilvl w:val="0"/>
          <w:numId w:val="1026"/>
        </w:numPr>
        <w:pStyle w:val="Compact"/>
      </w:pPr>
      <w:r>
        <w:t xml:space="preserve">Better support for commercial use: GEE could offer more comprehensive support and licensing options for commercial users, helping businesses harness the full potential of geospatial data analysis.</w:t>
      </w:r>
    </w:p>
    <w:bookmarkEnd w:id="71"/>
    <w:bookmarkEnd w:id="72"/>
    <w:bookmarkStart w:id="73" w:name="application-3"/>
    <w:p>
      <w:pPr>
        <w:pStyle w:val="Heading2"/>
      </w:pPr>
      <w:r>
        <w:t xml:space="preserve">5.2 Application</w:t>
      </w:r>
    </w:p>
    <w:p>
      <w:pPr>
        <w:pStyle w:val="FirstParagraph"/>
      </w:pPr>
      <w:r>
        <w:t xml:space="preserve">Literature choice:</w:t>
      </w:r>
      <w:r>
        <w:t xml:space="preserve"> </w:t>
      </w:r>
      <w:r>
        <w:t xml:space="preserve">Gorelick et al. (2017)</w:t>
      </w:r>
      <w:r>
        <w:t xml:space="preserve">.</w:t>
      </w:r>
    </w:p>
    <w:p>
      <w:pPr>
        <w:pStyle w:val="BodyText"/>
      </w:pPr>
      <w:r>
        <w:t xml:space="preserve">This week’s recommended literature mainly are documentation support for GEE and literature, even papers. Therefore the contribution of the literature will be in more general senses. An overview of Google Earth Engine’s capabilities and applications, as well as its potential to address societal issues.</w:t>
      </w:r>
    </w:p>
    <w:p>
      <w:pPr>
        <w:pStyle w:val="BodyText"/>
      </w:pPr>
      <w:r>
        <w:t xml:space="preserve">They also discuss potential future developments, including expanding Earth Engine’s data catalog, improving its user interface, and increasing collaboration with other organizations.</w:t>
      </w:r>
    </w:p>
    <w:p>
      <w:pPr>
        <w:numPr>
          <w:ilvl w:val="0"/>
          <w:numId w:val="1027"/>
        </w:numPr>
        <w:pStyle w:val="Compact"/>
      </w:pPr>
      <w:r>
        <w:t xml:space="preserve">Expanding Earth Engine’s data catalog: currently includes a wide range of geospatial datasets but could be expanded to include additional sources of data</w:t>
      </w:r>
      <w:r>
        <w:t xml:space="preserve"> </w:t>
      </w:r>
      <w:r>
        <w:t xml:space="preserve">(Gorelick et al. 2017)</w:t>
      </w:r>
      <w:r>
        <w:t xml:space="preserve">.</w:t>
      </w:r>
    </w:p>
    <w:p>
      <w:pPr>
        <w:numPr>
          <w:ilvl w:val="0"/>
          <w:numId w:val="1027"/>
        </w:numPr>
        <w:pStyle w:val="Compact"/>
      </w:pPr>
      <w:r>
        <w:t xml:space="preserve">Improving the user interface: make it more intuitive and user-friendly, particularly for non-expert users.</w:t>
      </w:r>
    </w:p>
    <w:p>
      <w:pPr>
        <w:numPr>
          <w:ilvl w:val="0"/>
          <w:numId w:val="1027"/>
        </w:numPr>
        <w:pStyle w:val="Compact"/>
      </w:pPr>
      <w:r>
        <w:t xml:space="preserve">Increasing collaboration with other organizations: Collaboration with other organizations, both in terms of data sharing and joint research projects, is also an important area for future development.</w:t>
      </w:r>
    </w:p>
    <w:p>
      <w:pPr>
        <w:numPr>
          <w:ilvl w:val="0"/>
          <w:numId w:val="1027"/>
        </w:numPr>
        <w:pStyle w:val="Compact"/>
      </w:pPr>
      <w:r>
        <w:t xml:space="preserve">Ongoing research into new analysis techniques and algorithms: Ongoing research into new analysis techniques and algorithms will continue to expand Earth Engine’s capabilities and applications</w:t>
      </w:r>
      <w:r>
        <w:t xml:space="preserve"> </w:t>
      </w:r>
      <w:r>
        <w:t xml:space="preserve">(Moore and Hansen 2011)</w:t>
      </w:r>
      <w:r>
        <w:t xml:space="preserve">.</w:t>
      </w:r>
    </w:p>
    <w:bookmarkEnd w:id="73"/>
    <w:bookmarkStart w:id="74" w:name="reflection-3"/>
    <w:p>
      <w:pPr>
        <w:pStyle w:val="Heading2"/>
      </w:pPr>
      <w:r>
        <w:t xml:space="preserve">5.3 Reflection</w:t>
      </w:r>
    </w:p>
    <w:p>
      <w:pPr>
        <w:pStyle w:val="FirstParagraph"/>
      </w:pPr>
      <w:r>
        <w:t xml:space="preserve">GEE-using skills can be a valuable asset for a spatial data scientist, as it allows for complex spatial analysis at scale. Traditional GIS software are eclipsed when it comes to both efficiency and scale.</w:t>
      </w:r>
    </w:p>
    <w:p>
      <w:pPr>
        <w:pStyle w:val="BodyText"/>
      </w:pPr>
      <w:r>
        <w:t xml:space="preserve">GEE’s unique and efficient way of conducting analysis flows is interesting, such as the introduction of concepts like client vs server-side operations and data reduction techniques. These was required by GEE’s feature of carrying out analyses on massive datasets</w:t>
      </w:r>
      <w:r>
        <w:t xml:space="preserve"> </w:t>
      </w:r>
      <w:r>
        <w:t xml:space="preserve">(Gorelick et al. 2017)</w:t>
      </w:r>
      <w:r>
        <w:t xml:space="preserve">. For those interested in BigData technology, the strategies (server/client split, no looping on server, etc.) applied by Google here is a very resourceful one and worth learning. The user end also has to learn to adopt good practices for reducing data range, which has been simplified to a series of reduction and filtering functions, e.g. </w:t>
      </w:r>
      <w:r>
        <w:rPr>
          <w:rStyle w:val="VerbatimChar"/>
        </w:rPr>
        <w:t xml:space="preserve">ImageCollection.filterDate(), image.reduceNeighborhood()</w:t>
      </w:r>
      <w:r>
        <w:t xml:space="preserve">(Google 2023b)</w:t>
      </w:r>
      <w:r>
        <w:t xml:space="preserve">.</w:t>
      </w:r>
    </w:p>
    <w:p>
      <w:pPr>
        <w:pStyle w:val="BodyText"/>
      </w:pPr>
      <w:r>
        <w:t xml:space="preserve">GEE’s combination with machine learning is also promising in regard of automating complex analysis tasks, as Machine Learning APIs offered by GEE support Supervised and Unsupervised Classification, and Regression</w:t>
      </w:r>
      <w:r>
        <w:t xml:space="preserve"> </w:t>
      </w:r>
      <w:r>
        <w:t xml:space="preserve">(Google 2023a)</w:t>
      </w:r>
      <w:r>
        <w:t xml:space="preserve">. According to</w:t>
      </w:r>
      <w:r>
        <w:t xml:space="preserve"> </w:t>
      </w:r>
      <w:r>
        <w:t xml:space="preserve">Saad El Imanni et al. (2023)</w:t>
      </w:r>
      <w:r>
        <w:t xml:space="preserve">, as a subtask of intelligent agriculture, weeds detection task sees an impressive performance (overall accuracy reached 96.87%) when GEE and Machine learning are combined.</w:t>
      </w:r>
    </w:p>
    <w:p>
      <w:pPr>
        <w:pStyle w:val="BodyText"/>
      </w:pPr>
      <w:r>
        <w:t xml:space="preserve">In conclusion, I believe familiarity with GEE will add to one’s machine learning workflow in dealing with EO data, and, more generally, incredibly large datasets. The design of GEE also opens an era of web-service based big-data handling. Its designs in alleviating computation on client side and getting rid of for-loop on server-side inspires service designers to make distinct standards for code practice based on the server-client split. Besides, the sheer amount and diverse categories of data available on GEE saves experts from burdensome data collection process, so they can focus more on EO data processing, analysis and storytelling.</w:t>
      </w:r>
    </w:p>
    <w:bookmarkEnd w:id="74"/>
    <w:bookmarkEnd w:id="75"/>
    <w:bookmarkStart w:id="92" w:name="wk6-classification"/>
    <w:p>
      <w:pPr>
        <w:pStyle w:val="Heading1"/>
      </w:pPr>
      <w:r>
        <w:t xml:space="preserve">6. Wk6 Classification</w:t>
      </w:r>
    </w:p>
    <w:bookmarkStart w:id="91" w:name="summary-4"/>
    <w:p>
      <w:pPr>
        <w:pStyle w:val="Heading2"/>
      </w:pPr>
      <w:r>
        <w:t xml:space="preserve">6.1 Summary</w:t>
      </w:r>
    </w:p>
    <w:tbl>
      <w:tblPr>
        <w:tblStyle w:val="Table"/>
        <w:tblW w:type="pct" w:w="5000"/>
        <w:tblLook w:firstRow="1" w:lastRow="0" w:firstColumn="0" w:lastColumn="0" w:noHBand="0" w:noVBand="0" w:val="0020"/>
      </w:tblPr>
      <w:tblGrid>
        <w:gridCol w:w="2033"/>
        <w:gridCol w:w="5886"/>
      </w:tblGrid>
      <w:tr>
        <w:trPr>
          <w:tblHeader w:val="true"/>
        </w:trPr>
        <w:tc>
          <w:tcPr/>
          <w:p>
            <w:pPr>
              <w:pStyle w:val="Compact"/>
              <w:jc w:val="left"/>
            </w:pPr>
            <w:r>
              <w:t xml:space="preserve">Information</w:t>
            </w:r>
          </w:p>
        </w:tc>
        <w:tc>
          <w:tcPr/>
          <w:p>
            <w:pPr>
              <w:pStyle w:val="Compact"/>
              <w:jc w:val="left"/>
            </w:pPr>
            <w:r>
              <w:t xml:space="preserve">Summary</w:t>
            </w:r>
          </w:p>
        </w:tc>
      </w:tr>
      <w:tr>
        <w:tc>
          <w:tcPr/>
          <w:p>
            <w:pPr>
              <w:pStyle w:val="Compact"/>
              <w:jc w:val="left"/>
            </w:pPr>
            <w:r>
              <w:t xml:space="preserve">Purpose of classification</w:t>
            </w:r>
          </w:p>
        </w:tc>
        <w:tc>
          <w:tcPr/>
          <w:p>
            <w:pPr>
              <w:pStyle w:val="Compact"/>
              <w:jc w:val="left"/>
            </w:pPr>
            <w:r>
              <w:t xml:space="preserve">To subset data into classes or values, such as landcover or estimating values like GCSE scores or pollution.</w:t>
            </w:r>
          </w:p>
        </w:tc>
      </w:tr>
      <w:tr>
        <w:tc>
          <w:tcPr/>
          <w:p>
            <w:pPr>
              <w:pStyle w:val="Compact"/>
              <w:jc w:val="left"/>
            </w:pPr>
            <w:r>
              <w:t xml:space="preserve">Different classification methods</w:t>
            </w:r>
          </w:p>
        </w:tc>
        <w:tc>
          <w:tcPr/>
          <w:p>
            <w:pPr>
              <w:pStyle w:val="Compact"/>
              <w:jc w:val="left"/>
            </w:pPr>
            <w:r>
              <w:t xml:space="preserve">Essentially slice the data in different ways.</w:t>
            </w:r>
          </w:p>
        </w:tc>
      </w:tr>
      <w:tr>
        <w:tc>
          <w:tcPr/>
          <w:p>
            <w:pPr>
              <w:pStyle w:val="Compact"/>
              <w:jc w:val="left"/>
            </w:pPr>
            <w:r>
              <w:t xml:space="preserve">Complexity of classification methods</w:t>
            </w:r>
          </w:p>
        </w:tc>
        <w:tc>
          <w:tcPr/>
          <w:p>
            <w:pPr>
              <w:pStyle w:val="Compact"/>
              <w:jc w:val="left"/>
            </w:pPr>
            <w:r>
              <w:t xml:space="preserve">They can often be made to appear more complicated than they are.</w:t>
            </w:r>
          </w:p>
        </w:tc>
      </w:tr>
      <w:tr>
        <w:tc>
          <w:tcPr/>
          <w:p>
            <w:pPr>
              <w:pStyle w:val="Compact"/>
              <w:jc w:val="left"/>
            </w:pPr>
            <w:r>
              <w:t xml:space="preserve">Controlling classifiers</w:t>
            </w:r>
          </w:p>
        </w:tc>
        <w:tc>
          <w:tcPr/>
          <w:p>
            <w:pPr>
              <w:pStyle w:val="Compact"/>
              <w:jc w:val="left"/>
            </w:pPr>
            <w:r>
              <w:t xml:space="preserve">Can be done using hyperparameters.</w:t>
            </w:r>
          </w:p>
        </w:tc>
      </w:tr>
      <w:tr>
        <w:tc>
          <w:tcPr/>
          <w:p>
            <w:pPr>
              <w:pStyle w:val="Compact"/>
              <w:jc w:val="left"/>
            </w:pPr>
            <w:r>
              <w:t xml:space="preserve">Desired outcome of classifiers</w:t>
            </w:r>
          </w:p>
        </w:tc>
        <w:tc>
          <w:tcPr/>
          <w:p>
            <w:pPr>
              <w:pStyle w:val="Compact"/>
              <w:jc w:val="left"/>
            </w:pPr>
            <w:r>
              <w:t xml:space="preserve">Can range from a single tree to a decision hyperplane boundary in multiple dimensions.</w:t>
            </w:r>
          </w:p>
        </w:tc>
      </w:tr>
    </w:tbl>
    <w:bookmarkStart w:id="76" w:name="ml-methods-in-eo-data-classification"/>
    <w:p>
      <w:pPr>
        <w:pStyle w:val="Heading3"/>
      </w:pPr>
      <w:r>
        <w:t xml:space="preserve">6.1.1 ML methods in EO data classification</w:t>
      </w:r>
    </w:p>
    <w:p>
      <w:pPr>
        <w:pStyle w:val="FirstParagraph"/>
      </w:pPr>
      <w:r>
        <w:t xml:space="preserve">Table 1: Supervised Classification Methods</w:t>
      </w:r>
    </w:p>
    <w:tbl>
      <w:tblPr>
        <w:tblStyle w:val="Table"/>
        <w:tblW w:type="pct" w:w="5000"/>
        <w:tblLook w:firstRow="1" w:lastRow="0" w:firstColumn="0" w:lastColumn="0" w:noHBand="0" w:noVBand="0" w:val="0020"/>
      </w:tblPr>
      <w:tblGrid>
        <w:gridCol w:w="1766"/>
        <w:gridCol w:w="6153"/>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Maximum Likelihood</w:t>
            </w:r>
          </w:p>
        </w:tc>
        <w:tc>
          <w:tcPr/>
          <w:p>
            <w:pPr>
              <w:pStyle w:val="Compact"/>
              <w:jc w:val="left"/>
            </w:pPr>
            <w:r>
              <w:t xml:space="preserve">A statistical method used to estimate the parameters of a probability distribution based on observed data.</w:t>
            </w:r>
          </w:p>
        </w:tc>
      </w:tr>
      <w:tr>
        <w:tc>
          <w:tcPr/>
          <w:p>
            <w:pPr>
              <w:pStyle w:val="Compact"/>
              <w:jc w:val="left"/>
            </w:pPr>
            <w:r>
              <w:t xml:space="preserve">Support Vector Machines (SVM)</w:t>
            </w:r>
          </w:p>
        </w:tc>
        <w:tc>
          <w:tcPr/>
          <w:p>
            <w:pPr>
              <w:pStyle w:val="Compact"/>
              <w:jc w:val="left"/>
            </w:pPr>
            <w:r>
              <w:t xml:space="preserve">A supervised learning algorithm that finds the best hyperplane to separate data into different classes.</w:t>
            </w:r>
          </w:p>
        </w:tc>
      </w:tr>
    </w:tbl>
    <w:p>
      <w:pPr>
        <w:pStyle w:val="BodyText"/>
      </w:pPr>
      <w:r>
        <w:t xml:space="preserve">Table 2: Unsupervised Classification Methods</w:t>
      </w:r>
    </w:p>
    <w:tbl>
      <w:tblPr>
        <w:tblStyle w:val="Table"/>
        <w:tblW w:type="pct" w:w="5000"/>
        <w:tblLook w:firstRow="1" w:lastRow="0" w:firstColumn="0" w:lastColumn="0" w:noHBand="0" w:noVBand="0" w:val="0020"/>
      </w:tblPr>
      <w:tblGrid>
        <w:gridCol w:w="1584"/>
        <w:gridCol w:w="6336"/>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Density Slicing</w:t>
            </w:r>
          </w:p>
        </w:tc>
        <w:tc>
          <w:tcPr/>
          <w:p>
            <w:pPr>
              <w:pStyle w:val="Compact"/>
              <w:jc w:val="left"/>
            </w:pPr>
            <w:r>
              <w:t xml:space="preserve">Divides the range of pixel values into equal intervals and assigns each interval a unique class value.</w:t>
            </w:r>
          </w:p>
        </w:tc>
      </w:tr>
      <w:tr>
        <w:tc>
          <w:tcPr/>
          <w:p>
            <w:pPr>
              <w:pStyle w:val="Compact"/>
              <w:jc w:val="left"/>
            </w:pPr>
            <w:r>
              <w:t xml:space="preserve">Parallelpiped</w:t>
            </w:r>
          </w:p>
        </w:tc>
        <w:tc>
          <w:tcPr/>
          <w:p>
            <w:pPr>
              <w:pStyle w:val="Compact"/>
              <w:jc w:val="left"/>
            </w:pPr>
            <w:r>
              <w:t xml:space="preserve">Uses a set of user-defined ranges for each band to define class boundaries in multi-dimensional space.</w:t>
            </w:r>
          </w:p>
        </w:tc>
      </w:tr>
      <w:tr>
        <w:tc>
          <w:tcPr/>
          <w:p>
            <w:pPr>
              <w:pStyle w:val="Compact"/>
              <w:jc w:val="left"/>
            </w:pPr>
            <w:r>
              <w:t xml:space="preserve">Minimum Distance to Mean</w:t>
            </w:r>
          </w:p>
        </w:tc>
        <w:tc>
          <w:tcPr/>
          <w:p>
            <w:pPr>
              <w:pStyle w:val="Compact"/>
              <w:jc w:val="left"/>
            </w:pPr>
            <w:r>
              <w:t xml:space="preserve">Assigns each pixel to the class with the closest mean value in multi-dimensional space.</w:t>
            </w:r>
          </w:p>
        </w:tc>
      </w:tr>
      <w:tr>
        <w:tc>
          <w:tcPr/>
          <w:p>
            <w:pPr>
              <w:pStyle w:val="Compact"/>
              <w:jc w:val="left"/>
            </w:pPr>
            <w:r>
              <w:t xml:space="preserve">Nearest Neighbor</w:t>
            </w:r>
          </w:p>
        </w:tc>
        <w:tc>
          <w:tcPr/>
          <w:p>
            <w:pPr>
              <w:pStyle w:val="Compact"/>
              <w:jc w:val="left"/>
            </w:pPr>
            <w:r>
              <w:t xml:space="preserve">Assigns each pixel to the class of its nearest neighbor in multi-dimensional space.</w:t>
            </w:r>
          </w:p>
        </w:tc>
      </w:tr>
    </w:tbl>
    <w:p>
      <w:pPr>
        <w:pStyle w:val="BodyText"/>
      </w:pPr>
      <w:r>
        <w:t xml:space="preserve">Table 3: Other Machine Learning Methods</w:t>
      </w:r>
    </w:p>
    <w:tbl>
      <w:tblPr>
        <w:tblStyle w:val="Table"/>
        <w:tblW w:type="pct" w:w="5000"/>
        <w:tblLook w:firstRow="1" w:lastRow="0" w:firstColumn="0" w:lastColumn="0" w:noHBand="0" w:noVBand="0" w:val="0020"/>
      </w:tblPr>
      <w:tblGrid>
        <w:gridCol w:w="1530"/>
        <w:gridCol w:w="639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Artificial Neural Networks (ANN)</w:t>
            </w:r>
          </w:p>
        </w:tc>
        <w:tc>
          <w:tcPr/>
          <w:p>
            <w:pPr>
              <w:pStyle w:val="Compact"/>
              <w:jc w:val="left"/>
            </w:pPr>
            <w:r>
              <w:t xml:space="preserve">A set of algorithms inspired by the structure and function of biological neural networks, used for pattern recognition and prediction tasks.</w:t>
            </w:r>
          </w:p>
        </w:tc>
      </w:tr>
    </w:tbl>
    <w:bookmarkEnd w:id="76"/>
    <w:bookmarkStart w:id="77" w:name="X565aa8eb489ce0631bda820fce98408ad2b1496"/>
    <w:p>
      <w:pPr>
        <w:pStyle w:val="Heading3"/>
      </w:pPr>
      <w:r>
        <w:t xml:space="preserve">6.1.2 Pros and cons - Supervised vs. Unsupervised</w:t>
      </w:r>
    </w:p>
    <w:p>
      <w:pPr>
        <w:pStyle w:val="FirstParagraph"/>
      </w:pPr>
      <w:r>
        <w:t xml:space="preserve">Table 1: Supervised vs. Unsupervised Classification</w:t>
      </w:r>
    </w:p>
    <w:tbl>
      <w:tblPr>
        <w:tblStyle w:val="Table"/>
        <w:tblW w:type="pct" w:w="5000"/>
        <w:tblLook w:firstRow="1" w:lastRow="0" w:firstColumn="0" w:lastColumn="0" w:noHBand="0" w:noVBand="0" w:val="0020"/>
      </w:tblPr>
      <w:tblGrid>
        <w:gridCol w:w="408"/>
        <w:gridCol w:w="4981"/>
        <w:gridCol w:w="2529"/>
      </w:tblGrid>
      <w:tr>
        <w:trPr>
          <w:tblHeader w:val="true"/>
        </w:trPr>
        <w:tc>
          <w:tcPr/>
          <w:p>
            <w:pPr>
              <w:pStyle w:val="Compact"/>
              <w:jc w:val="left"/>
            </w:pPr>
            <w:r>
              <w:t xml:space="preserve">Classification Type</w:t>
            </w:r>
          </w:p>
        </w:tc>
        <w:tc>
          <w:tcPr/>
          <w:p>
            <w:pPr>
              <w:pStyle w:val="Compact"/>
              <w:jc w:val="left"/>
            </w:pPr>
            <w:r>
              <w:t xml:space="preserve">Definition</w:t>
            </w:r>
          </w:p>
        </w:tc>
        <w:tc>
          <w:tcPr/>
          <w:p>
            <w:pPr>
              <w:pStyle w:val="Compact"/>
              <w:jc w:val="left"/>
            </w:pPr>
            <w:r>
              <w:t xml:space="preserve">Method</w:t>
            </w:r>
          </w:p>
        </w:tc>
      </w:tr>
      <w:tr>
        <w:tc>
          <w:tcPr/>
          <w:p>
            <w:pPr>
              <w:pStyle w:val="Compact"/>
              <w:jc w:val="left"/>
            </w:pPr>
            <w:r>
              <w:t xml:space="preserve">Supervised</w:t>
            </w:r>
          </w:p>
        </w:tc>
        <w:tc>
          <w:tcPr/>
          <w:p>
            <w:pPr>
              <w:pStyle w:val="Compact"/>
              <w:jc w:val="left"/>
            </w:pPr>
            <w:r>
              <w:t xml:space="preserve">Classifier learns patterns in the data and uses that to place labels onto new data. Pattern vector is used to classify the image. Usually, pixels are treated in isolation but as we have seen - contextual (neighboring pixels), objects (polygons), texture.</w:t>
            </w:r>
          </w:p>
        </w:tc>
        <w:tc>
          <w:tcPr/>
          <w:p>
            <w:pPr>
              <w:pStyle w:val="Compact"/>
              <w:jc w:val="left"/>
            </w:pPr>
            <w:r>
              <w:t xml:space="preserve">Pattern recognition or machine learning</w:t>
            </w:r>
          </w:p>
        </w:tc>
      </w:tr>
      <w:tr>
        <w:tc>
          <w:tcPr/>
          <w:p>
            <w:pPr>
              <w:pStyle w:val="Compact"/>
              <w:jc w:val="left"/>
            </w:pPr>
            <w:r>
              <w:t xml:space="preserve">Unsupervised</w:t>
            </w:r>
          </w:p>
        </w:tc>
        <w:tc>
          <w:tcPr/>
          <w:p>
            <w:pPr>
              <w:pStyle w:val="Compact"/>
              <w:jc w:val="left"/>
            </w:pPr>
            <w:r>
              <w:t xml:space="preserve">Identifies land cover classes that aren’t known a priori (before) and tells the computer to cluster based on info it has (e.g. bands) and label the clusters.</w:t>
            </w:r>
          </w:p>
        </w:tc>
        <w:tc>
          <w:tcPr/>
          <w:p>
            <w:pPr>
              <w:pStyle w:val="Compact"/>
              <w:jc w:val="left"/>
            </w:pPr>
            <w:r>
              <w:t xml:space="preserve">Density slicing, parallelpiped, minimum distance to mean, nearest neighbor, neural networks, machine learning / expert systems*</w:t>
            </w:r>
          </w:p>
        </w:tc>
      </w:tr>
    </w:tbl>
    <w:bookmarkEnd w:id="77"/>
    <w:bookmarkStart w:id="86" w:name="overfitting"/>
    <w:p>
      <w:pPr>
        <w:pStyle w:val="Heading3"/>
      </w:pPr>
      <w:r>
        <w:t xml:space="preserve">6.1.3 Overfitting</w:t>
      </w:r>
    </w:p>
    <w:p>
      <w:pPr>
        <w:numPr>
          <w:ilvl w:val="0"/>
          <w:numId w:val="1028"/>
        </w:numPr>
        <w:pStyle w:val="Compact"/>
      </w:pPr>
      <w:r>
        <w:t xml:space="preserve">Bias refers to the difference between the predicted value and the true value. When a model has high bias, it is too simple and may underfit the data. On the other hand, when a model has low bias, it may overfit the data.</w:t>
      </w:r>
    </w:p>
    <w:p>
      <w:pPr>
        <w:numPr>
          <w:ilvl w:val="0"/>
          <w:numId w:val="1028"/>
        </w:numPr>
        <w:pStyle w:val="Compact"/>
      </w:pPr>
      <w:r>
        <w:t xml:space="preserve">Variance, on the other hand, refers to the variability of a model for a given point. When a model has high variance, it is too complex and may overfit the data. This means that it will perform well on the training data but poorly on new data.</w:t>
      </w:r>
    </w:p>
    <w:tbl>
      <w:tblPr>
        <w:tblStyle w:val="Table"/>
        <w:tblW w:type="pct" w:w="5000"/>
        <w:tblLook w:firstRow="0" w:lastRow="0" w:firstColumn="0" w:lastColumn="0" w:noHBand="0" w:noVBand="0" w:val="0000"/>
      </w:tblPr>
      <w:tblGrid>
        <w:gridCol w:w="7920"/>
      </w:tblGrid>
      <w:tr>
        <w:tc>
          <w:tcPr/>
          <w:bookmarkStart w:id="81" w:name="fig-BiasVar01"/>
          <w:p>
            <w:pPr>
              <w:pStyle w:val="Figure"/>
              <w:jc w:val="center"/>
            </w:pPr>
            <w:r>
              <w:drawing>
                <wp:inline>
                  <wp:extent cx="5334000" cy="4342758"/>
                  <wp:effectExtent b="0" l="0" r="0" t="0"/>
                  <wp:docPr descr="" title="" id="79" name="Picture"/>
                  <a:graphic>
                    <a:graphicData uri="http://schemas.openxmlformats.org/drawingml/2006/picture">
                      <pic:pic>
                        <pic:nvPicPr>
                          <pic:cNvPr descr="./images/Bias-variance-01.png" id="80" name="Picture"/>
                          <pic:cNvPicPr>
                            <a:picLocks noChangeArrowheads="1" noChangeAspect="1"/>
                          </pic:cNvPicPr>
                        </pic:nvPicPr>
                        <pic:blipFill>
                          <a:blip r:embed="rId78"/>
                          <a:stretch>
                            <a:fillRect/>
                          </a:stretch>
                        </pic:blipFill>
                        <pic:spPr bwMode="auto">
                          <a:xfrm>
                            <a:off x="0" y="0"/>
                            <a:ext cx="5334000" cy="4342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Credit: CASA0006</w:t>
            </w:r>
          </w:p>
          <w:bookmarkEnd w:id="81"/>
        </w:tc>
      </w:tr>
    </w:tbl>
    <w:p>
      <w:pPr>
        <w:pStyle w:val="BodyText"/>
      </w:pPr>
      <w:r>
        <w:t xml:space="preserve">In general, overfitting occurs when there is a trade-off between bias and variance. A model with high bias and low variance will underfit the data, while a model with low bias and high variance will overfit the data. The goal is to find a balance between bias and variance that results in good performance on both training and test data.</w:t>
      </w:r>
    </w:p>
    <w:tbl>
      <w:tblPr>
        <w:tblStyle w:val="Table"/>
        <w:tblW w:type="pct" w:w="5000"/>
        <w:tblLook w:firstRow="0" w:lastRow="0" w:firstColumn="0" w:lastColumn="0" w:noHBand="0" w:noVBand="0" w:val="0000"/>
      </w:tblPr>
      <w:tblGrid>
        <w:gridCol w:w="7920"/>
      </w:tblGrid>
      <w:tr>
        <w:tc>
          <w:tcPr/>
          <w:bookmarkStart w:id="85" w:name="fig-BiasVar02"/>
          <w:p>
            <w:pPr>
              <w:pStyle w:val="Figure"/>
              <w:jc w:val="center"/>
            </w:pPr>
            <w:r>
              <w:drawing>
                <wp:inline>
                  <wp:extent cx="5334000" cy="2037843"/>
                  <wp:effectExtent b="0" l="0" r="0" t="0"/>
                  <wp:docPr descr="" title="" id="83" name="Picture"/>
                  <a:graphic>
                    <a:graphicData uri="http://schemas.openxmlformats.org/drawingml/2006/picture">
                      <pic:pic>
                        <pic:nvPicPr>
                          <pic:cNvPr descr="./images/Bias-variance-02.png" id="84" name="Picture"/>
                          <pic:cNvPicPr>
                            <a:picLocks noChangeArrowheads="1" noChangeAspect="1"/>
                          </pic:cNvPicPr>
                        </pic:nvPicPr>
                        <pic:blipFill>
                          <a:blip r:embed="rId82"/>
                          <a:stretch>
                            <a:fillRect/>
                          </a:stretch>
                        </pic:blipFill>
                        <pic:spPr bwMode="auto">
                          <a:xfrm>
                            <a:off x="0" y="0"/>
                            <a:ext cx="5334000" cy="20378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Credit: CASA0006</w:t>
            </w:r>
          </w:p>
          <w:bookmarkEnd w:id="85"/>
        </w:tc>
      </w:tr>
    </w:tbl>
    <w:bookmarkEnd w:id="86"/>
    <w:bookmarkStart w:id="90" w:name="Xf20c740d0db1c79dae67268940fffd72087c6d5"/>
    <w:p>
      <w:pPr>
        <w:pStyle w:val="Heading3"/>
      </w:pPr>
      <w:r>
        <w:t xml:space="preserve">6.1.4 Outlook on the development of EO data Classification</w:t>
      </w:r>
    </w:p>
    <w:p>
      <w:pPr>
        <w:pStyle w:val="FirstParagraph"/>
      </w:pPr>
      <w:r>
        <w:t xml:space="preserve">Earth Observation (EO) data classification is continually evolving, with new technologies and techniques leading to several anticipated future developments:</w:t>
      </w:r>
    </w:p>
    <w:p>
      <w:pPr>
        <w:numPr>
          <w:ilvl w:val="0"/>
          <w:numId w:val="1029"/>
        </w:numPr>
        <w:pStyle w:val="Compact"/>
      </w:pPr>
      <w:r>
        <w:t xml:space="preserve">Multi-source data fusion:</w:t>
      </w:r>
    </w:p>
    <w:p>
      <w:pPr>
        <w:numPr>
          <w:ilvl w:val="1"/>
          <w:numId w:val="1030"/>
        </w:numPr>
        <w:pStyle w:val="Compact"/>
      </w:pPr>
      <w:r>
        <w:t xml:space="preserve">Integrating data from multiple sources like satellite imagery, LiDAR, and ground-based sensors will become more prevalent. This fusion enhances classification accuracy and offers comprehensive Earth’s surface information, improving decision-making and monitoring. For example, the European Union’s</w:t>
      </w:r>
      <w:r>
        <w:t xml:space="preserve"> </w:t>
      </w:r>
      <w:hyperlink r:id="rId87">
        <w:r>
          <w:rPr>
            <w:rStyle w:val="Hyperlink"/>
            <w:bCs/>
            <w:b/>
          </w:rPr>
          <w:t xml:space="preserve">Copernicus Programme</w:t>
        </w:r>
      </w:hyperlink>
      <w:r>
        <w:t xml:space="preserve"> </w:t>
      </w:r>
      <w:r>
        <w:t xml:space="preserve">could use this in providing free data from various satellite missions and sensors for environmental monitoring, disaster management, and urban planning.</w:t>
      </w:r>
    </w:p>
    <w:p>
      <w:pPr>
        <w:numPr>
          <w:ilvl w:val="0"/>
          <w:numId w:val="1029"/>
        </w:numPr>
        <w:pStyle w:val="Compact"/>
      </w:pPr>
      <w:r>
        <w:t xml:space="preserve">Multi-temporal analysis:</w:t>
      </w:r>
    </w:p>
    <w:p>
      <w:pPr>
        <w:numPr>
          <w:ilvl w:val="1"/>
          <w:numId w:val="1031"/>
        </w:numPr>
        <w:pStyle w:val="Compact"/>
      </w:pPr>
      <w:r>
        <w:t xml:space="preserve">Sophisticated multi-temporal analysis techniques will be increasingly used to monitor changes in land cover, vegetation, and other features over time. This enables accurate and efficient change detection and monitoring of phenomena like urbanization, deforestation, and climate change. This aligns with the</w:t>
      </w:r>
      <w:r>
        <w:t xml:space="preserve"> </w:t>
      </w:r>
      <w:hyperlink r:id="rId88">
        <w:r>
          <w:rPr>
            <w:rStyle w:val="Hyperlink"/>
            <w:bCs/>
            <w:b/>
          </w:rPr>
          <w:t xml:space="preserve">REDD+</w:t>
        </w:r>
      </w:hyperlink>
      <w:r>
        <w:t xml:space="preserve"> </w:t>
      </w:r>
      <w:r>
        <w:t xml:space="preserve">initiative under the United Nations Framework Convention on Climate Change (UNFCCC), which uses multi-temporal analysis to monitor forest cover changes and evaluate policy effectiveness in reducing greenhouse gas emissions from deforestation and forest degradation.</w:t>
      </w:r>
    </w:p>
    <w:p>
      <w:pPr>
        <w:numPr>
          <w:ilvl w:val="0"/>
          <w:numId w:val="1029"/>
        </w:numPr>
        <w:pStyle w:val="Compact"/>
      </w:pPr>
      <w:r>
        <w:t xml:space="preserve">Cloud-based processing:</w:t>
      </w:r>
    </w:p>
    <w:p>
      <w:pPr>
        <w:numPr>
          <w:ilvl w:val="1"/>
          <w:numId w:val="1032"/>
        </w:numPr>
        <w:pStyle w:val="Compact"/>
      </w:pPr>
      <w:r>
        <w:t xml:space="preserve">The growth of cloud-based platforms, such as Google Earth Engine, allows for more efficient and scalable EO data processing workflows. This accessibility enables researchers and organizations to innovate in classification techniques and applications. The National Oceanic and Atmospheric Administration’s (NOAA)</w:t>
      </w:r>
      <w:r>
        <w:t xml:space="preserve"> </w:t>
      </w:r>
      <w:hyperlink r:id="rId89">
        <w:r>
          <w:rPr>
            <w:rStyle w:val="Hyperlink"/>
            <w:bCs/>
            <w:b/>
          </w:rPr>
          <w:t xml:space="preserve">Big Data Project</w:t>
        </w:r>
      </w:hyperlink>
      <w:r>
        <w:t xml:space="preserve"> </w:t>
      </w:r>
      <w:r>
        <w:t xml:space="preserve">aims to make vast amounts of environmental data accessible and usable in the cloud, fostering innovation in developing new applications and services.</w:t>
      </w:r>
    </w:p>
    <w:p>
      <w:pPr>
        <w:pStyle w:val="FirstParagraph"/>
      </w:pPr>
      <w:r>
        <w:t xml:space="preserve">These advancements will provide comprehensive and timely information about Earth’s surface, informing policies and strategies in areas such as environmental management, disaster response, and urban planning.</w:t>
      </w:r>
    </w:p>
    <w:bookmarkEnd w:id="90"/>
    <w:bookmarkEnd w:id="91"/>
    <w:bookmarkEnd w:id="92"/>
    <w:bookmarkStart w:id="113" w:name="week7---classification-and-accuracy"/>
    <w:p>
      <w:pPr>
        <w:pStyle w:val="Heading1"/>
      </w:pPr>
      <w:r>
        <w:t xml:space="preserve">7. Week7 - Classification and Accuracy</w:t>
      </w:r>
    </w:p>
    <w:p>
      <w:pPr>
        <w:pStyle w:val="FirstParagraph"/>
      </w:pPr>
      <w:r>
        <w:t xml:space="preserve">This week’s learning diary continues that from Week 6 in addressing the big problem in Remote Sensingm, i.e. classification within Earth Observation data. Also, accuracy metrics are discussed.</w:t>
      </w:r>
    </w:p>
    <w:bookmarkStart w:id="110" w:name="summary-5"/>
    <w:p>
      <w:pPr>
        <w:pStyle w:val="Heading2"/>
      </w:pPr>
      <w:r>
        <w:t xml:space="preserve">7.1 Summary</w:t>
      </w:r>
    </w:p>
    <w:p>
      <w:pPr>
        <w:pStyle w:val="FirstParagraph"/>
      </w:pPr>
      <w:r>
        <w:t xml:space="preserve">The summary of lecture content as well as practical outcomes. See</w:t>
      </w:r>
      <w:r>
        <w:t xml:space="preserve"> </w:t>
      </w:r>
      <w:r>
        <w:rPr>
          <w:bCs/>
          <w:b/>
        </w:rPr>
        <w:t xml:space="preserve">?@fig-mindmap</w:t>
      </w:r>
      <w:r>
        <w:t xml:space="preserve"> </w:t>
      </w:r>
      <w:r>
        <w:t xml:space="preserve">for an overview. If certain words are intelligible due to resolution issues, hopefully you can right click and</w:t>
      </w:r>
      <w:r>
        <w:t xml:space="preserve"> </w:t>
      </w:r>
      <w:r>
        <w:t xml:space="preserve">“</w:t>
      </w:r>
      <w:r>
        <w:t xml:space="preserve">open in new page</w:t>
      </w:r>
      <w:r>
        <w:t xml:space="preserve">”</w:t>
      </w:r>
      <w:r>
        <w:t xml:space="preserve"> </w:t>
      </w:r>
      <w:r>
        <w:t xml:space="preserve">to get a better view since this is a .SVG file.</w:t>
      </w:r>
      <w:r>
        <w:t xml:space="preserve"> </w:t>
      </w:r>
      <w:bookmarkStart w:id="96" w:name="fig-mindmap"/>
      <w:r>
        <w:drawing>
          <wp:inline>
            <wp:extent cx="5334000" cy="3588373"/>
            <wp:effectExtent b="0" l="0" r="0" t="0"/>
            <wp:docPr descr="Classification in Remote Sensing" title="" id="94" name="Picture"/>
            <a:graphic>
              <a:graphicData uri="http://schemas.openxmlformats.org/drawingml/2006/picture">
                <pic:pic>
                  <pic:nvPicPr>
                    <pic:cNvPr descr="./images/MindMap.png" id="95" name="Picture"/>
                    <pic:cNvPicPr>
                      <a:picLocks noChangeArrowheads="1" noChangeAspect="1"/>
                    </pic:cNvPicPr>
                  </pic:nvPicPr>
                  <pic:blipFill>
                    <a:blip r:embed="rId93"/>
                    <a:stretch>
                      <a:fillRect/>
                    </a:stretch>
                  </pic:blipFill>
                  <pic:spPr bwMode="auto">
                    <a:xfrm>
                      <a:off x="0" y="0"/>
                      <a:ext cx="5334000" cy="3588373"/>
                    </a:xfrm>
                    <a:prstGeom prst="rect">
                      <a:avLst/>
                    </a:prstGeom>
                    <a:noFill/>
                    <a:ln w="9525">
                      <a:noFill/>
                      <a:headEnd/>
                      <a:tailEnd/>
                    </a:ln>
                  </pic:spPr>
                </pic:pic>
              </a:graphicData>
            </a:graphic>
          </wp:inline>
        </w:drawing>
      </w:r>
      <w:bookmarkEnd w:id="96"/>
    </w:p>
    <w:bookmarkStart w:id="97" w:name="data"/>
    <w:p>
      <w:pPr>
        <w:pStyle w:val="Heading3"/>
      </w:pPr>
      <w:r>
        <w:t xml:space="preserve">7.1.1 Data</w:t>
      </w:r>
    </w:p>
    <w:p>
      <w:pPr>
        <w:numPr>
          <w:ilvl w:val="0"/>
          <w:numId w:val="1033"/>
        </w:numPr>
      </w:pPr>
      <w:r>
        <w:t xml:space="preserve">Surface Reflectance (SR)</w:t>
      </w:r>
    </w:p>
    <w:p>
      <w:pPr>
        <w:numPr>
          <w:ilvl w:val="0"/>
          <w:numId w:val="1033"/>
        </w:numPr>
      </w:pPr>
      <w:r>
        <w:t xml:space="preserve">Top of Atmosphere (TOA)</w:t>
      </w:r>
    </w:p>
    <w:p>
      <w:pPr>
        <w:pStyle w:val="FirstParagraph"/>
      </w:pPr>
      <w:r>
        <w:t xml:space="preserve">A mixed way of doing urban recognition</w:t>
      </w:r>
    </w:p>
    <w:bookmarkEnd w:id="97"/>
    <w:bookmarkStart w:id="98" w:name="obia-object-based-image-analysis"/>
    <w:p>
      <w:pPr>
        <w:pStyle w:val="Heading3"/>
      </w:pPr>
      <w:r>
        <w:t xml:space="preserve">7.1.2 OBIA (object-based image analysis)</w:t>
      </w:r>
    </w:p>
    <w:p>
      <w:pPr>
        <w:pStyle w:val="FirstParagraph"/>
      </w:pPr>
      <w:r>
        <w:t xml:space="preserve">Instead of a per-pixel approach, we adopt an object-based image analysis (OBIA), where you have to manually create objects.</w:t>
      </w:r>
    </w:p>
    <w:p>
      <w:pPr>
        <w:pStyle w:val="BodyText"/>
      </w:pPr>
      <w:r>
        <w:t xml:space="preserve">SLIC (</w:t>
      </w:r>
      <w:r>
        <w:rPr>
          <w:iCs/>
          <w:i/>
          <w:bCs/>
          <w:b/>
        </w:rPr>
        <w:t xml:space="preserve">Simple Linear Iterative Clustering</w:t>
      </w:r>
      <w:r>
        <w:t xml:space="preserve">) (2012): No ground truth</w:t>
      </w:r>
    </w:p>
    <w:p>
      <w:pPr>
        <w:pStyle w:val="BodyText"/>
      </w:pPr>
      <w:r>
        <w:t xml:space="preserve">Descent, similarity (Homogeneity)</w:t>
      </w:r>
    </w:p>
    <w:bookmarkEnd w:id="98"/>
    <w:bookmarkStart w:id="100" w:name="sub-pixel-analysis"/>
    <w:p>
      <w:pPr>
        <w:pStyle w:val="Heading3"/>
      </w:pPr>
      <w:r>
        <w:t xml:space="preserve">7.1.3 Sub-pixel analysis</w:t>
      </w:r>
    </w:p>
    <w:p>
      <w:pPr>
        <w:pStyle w:val="FirstParagraph"/>
      </w:pPr>
      <w:r>
        <w:t xml:space="preserve">SMA (Spectral maximum analysis), SPC, LSU</w:t>
      </w:r>
    </w:p>
    <w:p>
      <w:pPr>
        <w:pStyle w:val="BodyText"/>
      </w:pPr>
      <w:r>
        <w:t xml:space="preserve">Through a series of manipulation of material, we acquire a list describing the broken-down land cover of that pixel</w:t>
      </w:r>
    </w:p>
    <w:bookmarkStart w:id="99" w:name="pixel-purity"/>
    <w:p>
      <w:pPr>
        <w:pStyle w:val="Heading4"/>
      </w:pPr>
      <w:r>
        <w:t xml:space="preserve">7.1.3.1 Pixel purity</w:t>
      </w:r>
    </w:p>
    <w:p>
      <w:pPr>
        <w:pStyle w:val="FirstParagraph"/>
      </w:pPr>
      <w:r>
        <w:rPr>
          <w:bCs/>
          <w:b/>
        </w:rPr>
        <w:t xml:space="preserve">Endmember</w:t>
      </w:r>
      <w:r>
        <w:t xml:space="preserve">: an important concept in spectral mixture analysis</w:t>
      </w:r>
    </w:p>
    <w:p>
      <w:pPr>
        <w:pStyle w:val="BodyText"/>
      </w:pPr>
      <w:r>
        <w:t xml:space="preserve">In remote sensing, an end member refers to a pure or nearly pure material or component that is present within a mixed pixel.</w:t>
      </w:r>
    </w:p>
    <w:p>
      <w:pPr>
        <w:pStyle w:val="BodyText"/>
      </w:pPr>
      <w:r>
        <w:t xml:space="preserve">In spectral mixture analysis, the spectral signature of a mixed pixel is modelled as a linear combination of the spectral signatures of the constituent endmembers, with each end member being assigned a proportion or fraction that represents its contribution to the overall reflectance or radiance of the mixed pixel.</w:t>
      </w:r>
    </w:p>
    <w:bookmarkEnd w:id="99"/>
    <w:bookmarkEnd w:id="100"/>
    <w:bookmarkStart w:id="101" w:name="accuracy-assessment"/>
    <w:p>
      <w:pPr>
        <w:pStyle w:val="Heading3"/>
      </w:pPr>
      <w:r>
        <w:t xml:space="preserve">7.1.4 Accuracy assessment</w:t>
      </w:r>
    </w:p>
    <w:p>
      <w:pPr>
        <w:numPr>
          <w:ilvl w:val="0"/>
          <w:numId w:val="1034"/>
        </w:numPr>
      </w:pPr>
      <w:r>
        <w:t xml:space="preserve">Producer accuracy: Recall</w:t>
      </w:r>
    </w:p>
    <w:p>
      <w:pPr>
        <w:numPr>
          <w:ilvl w:val="0"/>
          <w:numId w:val="1034"/>
        </w:numPr>
      </w:pPr>
      <w:r>
        <w:t xml:space="preserve">User’s accuracy: Precision</w:t>
      </w:r>
    </w:p>
    <w:p>
      <w:pPr>
        <w:numPr>
          <w:ilvl w:val="0"/>
          <w:numId w:val="1034"/>
        </w:numPr>
      </w:pPr>
      <w:r>
        <w:t xml:space="preserve">Overall accuracy: not equivalent to F1</w:t>
      </w:r>
    </w:p>
    <w:p>
      <w:pPr>
        <w:numPr>
          <w:ilvl w:val="0"/>
          <w:numId w:val="1034"/>
        </w:numPr>
      </w:pPr>
      <w:r>
        <w:t xml:space="preserve">Kappa coefficient: [0, 1], measures how good the classification is compared to random distribution e.g. Poisson. Different interpretations of this metric, problematic</w:t>
      </w:r>
    </w:p>
    <w:p>
      <w:pPr>
        <w:pStyle w:val="FirstParagraph"/>
      </w:pPr>
      <w:r>
        <w:t xml:space="preserve">Make a tradeoff between Producer accuracy and User accuracy, by shifting the decision boundary.</w:t>
      </w:r>
    </w:p>
    <w:p>
      <w:pPr>
        <w:numPr>
          <w:ilvl w:val="0"/>
          <w:numId w:val="1035"/>
        </w:numPr>
      </w:pPr>
      <w:r>
        <w:t xml:space="preserve">F1: issue: TN not considered; Recall and precision are not equally important yet equally weighted in F1</w:t>
      </w:r>
    </w:p>
    <w:p>
      <w:pPr>
        <w:numPr>
          <w:ilvl w:val="0"/>
          <w:numId w:val="1035"/>
        </w:numPr>
      </w:pPr>
      <w:r>
        <w:t xml:space="preserve">Receiver Operating Characteristic Curve: True positive rate and false positive rate are all good. We want to maximise the area under the curve in a True positive rate vs false positive rate plot.</w:t>
      </w:r>
    </w:p>
    <w:bookmarkEnd w:id="101"/>
    <w:bookmarkStart w:id="106" w:name="workflow"/>
    <w:p>
      <w:pPr>
        <w:pStyle w:val="Heading3"/>
      </w:pPr>
      <w:r>
        <w:t xml:space="preserve">7.1.5 Workflow</w:t>
      </w:r>
    </w:p>
    <w:p>
      <w:pPr>
        <w:numPr>
          <w:ilvl w:val="0"/>
          <w:numId w:val="1036"/>
        </w:numPr>
      </w:pPr>
      <w:r>
        <w:t xml:space="preserve">(Potentially use unsupervised classification to understand your data</w:t>
      </w:r>
    </w:p>
    <w:p>
      <w:pPr>
        <w:numPr>
          <w:ilvl w:val="0"/>
          <w:numId w:val="1036"/>
        </w:numPr>
      </w:pPr>
      <w:r>
        <w:t xml:space="preserve">Class definition (Potentially use unsupervised classification)</w:t>
      </w:r>
    </w:p>
    <w:p>
      <w:pPr>
        <w:numPr>
          <w:ilvl w:val="0"/>
          <w:numId w:val="1036"/>
        </w:numPr>
      </w:pPr>
      <w:r>
        <w:t xml:space="preserve">Preprocessing</w:t>
      </w:r>
    </w:p>
    <w:p>
      <w:pPr>
        <w:numPr>
          <w:ilvl w:val="0"/>
          <w:numId w:val="1036"/>
        </w:numPr>
      </w:pPr>
      <w:r>
        <w:t xml:space="preserve">Training</w:t>
      </w:r>
    </w:p>
    <w:p>
      <w:pPr>
        <w:numPr>
          <w:ilvl w:val="0"/>
          <w:numId w:val="1036"/>
        </w:numPr>
      </w:pPr>
      <w:r>
        <w:t xml:space="preserve">Pixel Assignment</w:t>
      </w:r>
    </w:p>
    <w:p>
      <w:pPr>
        <w:numPr>
          <w:ilvl w:val="0"/>
          <w:numId w:val="1036"/>
        </w:numPr>
      </w:pPr>
      <w:r>
        <w:t xml:space="preserve">Accuracy assessment</w:t>
      </w:r>
    </w:p>
    <w:p>
      <w:pPr>
        <w:pStyle w:val="FirstParagraph"/>
      </w:pPr>
      <w:r>
        <w:t xml:space="preserve">Pseudo-invariant features to be trained on to make your model robust to time-space changes</w:t>
      </w:r>
    </w:p>
    <w:p>
      <w:pPr>
        <w:pStyle w:val="BodyText"/>
      </w:pPr>
      <w:r>
        <w:t xml:space="preserve">Pseudo-invariant features are often used as reference targets or calibration sites in remote sensing to account for changes in sensor or atmospheric conditions and to reduce the effects of noise and calibration drift on image data. These features have relatively constant spectral properties over time and space, and can therefore serve as a stable reference for monitoring changes in other features or materials within an image or scene.</w:t>
      </w:r>
    </w:p>
    <w:p>
      <w:pPr>
        <w:pStyle w:val="BodyText"/>
      </w:pPr>
      <w:r>
        <w:t xml:space="preserve">A flow chart can be seen in</w:t>
      </w:r>
      <w:r>
        <w:t xml:space="preserve"> </w:t>
      </w:r>
      <w:hyperlink w:anchor="fig-flowchart">
        <w:r>
          <w:rPr>
            <w:rStyle w:val="Hyperlink"/>
          </w:rPr>
          <w:t xml:space="preserve">Figure 7.1</w:t>
        </w:r>
      </w:hyperlink>
      <w:r>
        <w:t xml:space="preserve"> </w:t>
      </w:r>
      <w:r>
        <w:t xml:space="preserve">:</w:t>
      </w:r>
    </w:p>
    <w:tbl>
      <w:tblPr>
        <w:tblStyle w:val="Table"/>
        <w:tblW w:type="pct" w:w="5000"/>
        <w:tblLook w:firstRow="0" w:lastRow="0" w:firstColumn="0" w:lastColumn="0" w:noHBand="0" w:noVBand="0" w:val="0000"/>
      </w:tblPr>
      <w:tblGrid>
        <w:gridCol w:w="7920"/>
      </w:tblGrid>
      <w:tr>
        <w:tc>
          <w:tcPr/>
          <w:bookmarkStart w:id="105" w:name="fig-flowchart"/>
          <w:p>
            <w:pPr>
              <w:pStyle w:val="Figure"/>
              <w:jc w:val="center"/>
            </w:pPr>
            <w:r>
              <w:drawing>
                <wp:inline>
                  <wp:extent cx="5334000" cy="9684734"/>
                  <wp:effectExtent b="0" l="0" r="0" t="0"/>
                  <wp:docPr descr="" title="" id="103" name="Picture"/>
                  <a:graphic>
                    <a:graphicData uri="http://schemas.openxmlformats.org/drawingml/2006/picture">
                      <pic:pic>
                        <pic:nvPicPr>
                          <pic:cNvPr descr="./images/FlowChart.png" id="104" name="Picture"/>
                          <pic:cNvPicPr>
                            <a:picLocks noChangeArrowheads="1" noChangeAspect="1"/>
                          </pic:cNvPicPr>
                        </pic:nvPicPr>
                        <pic:blipFill>
                          <a:blip r:embed="rId102"/>
                          <a:stretch>
                            <a:fillRect/>
                          </a:stretch>
                        </pic:blipFill>
                        <pic:spPr bwMode="auto">
                          <a:xfrm>
                            <a:off x="0" y="0"/>
                            <a:ext cx="5334000" cy="96847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Classification Workflow, courtesy: myself</w:t>
            </w:r>
          </w:p>
          <w:bookmarkEnd w:id="105"/>
        </w:tc>
      </w:tr>
    </w:tbl>
    <w:bookmarkEnd w:id="106"/>
    <w:bookmarkStart w:id="108" w:name="X21c006f554c245b4c08edf3b2e92c3bcece0970"/>
    <w:p>
      <w:pPr>
        <w:pStyle w:val="Heading3"/>
      </w:pPr>
      <w:r>
        <w:t xml:space="preserve">7.1.6 A</w:t>
      </w:r>
      <w:r>
        <w:t xml:space="preserve"> </w:t>
      </w:r>
      <w:r>
        <w:t xml:space="preserve">“</w:t>
      </w:r>
      <w:r>
        <w:t xml:space="preserve">Sneak preview</w:t>
      </w:r>
      <w:r>
        <w:t xml:space="preserve">”</w:t>
      </w:r>
      <w:r>
        <w:t xml:space="preserve"> </w:t>
      </w:r>
      <w:r>
        <w:t xml:space="preserve">(Analogous to Data Leakage in ML)</w:t>
      </w:r>
    </w:p>
    <w:p>
      <w:pPr>
        <w:pStyle w:val="FirstParagraph"/>
      </w:pPr>
      <w:r>
        <w:t xml:space="preserve">Waldo Tobler’s first law of geography indicates that if training and testing are spatially close, the training can cause the problem of a sneak preview.</w:t>
      </w:r>
    </w:p>
    <w:bookmarkStart w:id="107" w:name="spatial-cross-validation"/>
    <w:p>
      <w:pPr>
        <w:pStyle w:val="Heading4"/>
      </w:pPr>
      <w:r>
        <w:t xml:space="preserve">7.1.6.1 Spatial Cross Validation</w:t>
      </w:r>
    </w:p>
    <w:p>
      <w:pPr>
        <w:pStyle w:val="FirstParagraph"/>
      </w:pPr>
      <w:r>
        <w:t xml:space="preserve">Similar to cross-validation but adds clustering to folds.</w:t>
      </w:r>
    </w:p>
    <w:p>
      <w:pPr>
        <w:pStyle w:val="BodyText"/>
      </w:pPr>
      <w:r>
        <w:t xml:space="preserve">In spatial cross-validation, the data are split into spatially contiguous blocks or subsets, rather than randomly shuffled subsets as in traditional cross-validation. This is done to ensure that the model is tested on data that are spatially distinct from the data used to train the model and to account for spatial autocorrelation and other spatial dependencies in the data.</w:t>
      </w:r>
    </w:p>
    <w:bookmarkEnd w:id="107"/>
    <w:bookmarkEnd w:id="108"/>
    <w:bookmarkStart w:id="109" w:name="Xf0a48a4a93cee088f6011d1480b3264f12f57e8"/>
    <w:p>
      <w:pPr>
        <w:pStyle w:val="Heading3"/>
      </w:pPr>
      <w:r>
        <w:t xml:space="preserve">7.1.7 Approaches to deal with Spatial Autocorrelation</w:t>
      </w:r>
    </w:p>
    <w:p>
      <w:pPr>
        <w:pStyle w:val="FirstParagraph"/>
      </w:pPr>
      <w:r>
        <w:t xml:space="preserve">Object-based image classification</w:t>
      </w:r>
    </w:p>
    <w:p>
      <w:pPr>
        <w:pStyle w:val="BodyText"/>
      </w:pPr>
      <w:r>
        <w:t xml:space="preserve">Moran’s I (Spatial Cross Validation)</w:t>
      </w:r>
    </w:p>
    <w:bookmarkEnd w:id="109"/>
    <w:bookmarkEnd w:id="110"/>
    <w:bookmarkStart w:id="111" w:name="application---to-be-completed"/>
    <w:p>
      <w:pPr>
        <w:pStyle w:val="Heading2"/>
      </w:pPr>
      <w:r>
        <w:t xml:space="preserve">7.2 Application - to be completed</w:t>
      </w:r>
    </w:p>
    <w:p>
      <w:pPr>
        <w:pStyle w:val="FirstParagraph"/>
      </w:pPr>
      <w:r>
        <w:t xml:space="preserve">In remote sensing, it is often challenging to accurately classify mixed pixels, which contain a combination of different materials or components. Endmembers refer to pure or nearly pure materials that are present within a mixed pixel. By modelling the spectral signature of a mixed pixel as a linear combination of the spectral signatures of the constituent endmembers, we can determine the contribution of each endmember to the overall reflectance or radiance of the mixed pixel.</w:t>
      </w:r>
    </w:p>
    <w:p>
      <w:pPr>
        <w:pStyle w:val="BodyText"/>
      </w:pPr>
      <w:r>
        <w:t xml:space="preserve">This approach can be very useful in urban recognition, where it is essential to accurately classify the different land covers present within a pixel. Furthermore, it can also help us to understand the composition of the land cover in a given area, which can have important implications for environmental monitoring and management. This approach has been applied in various studies to estimate urban land cover, such as the work by Zhang et al. (2018) that utilised endmember extraction to detect urban impervious surfaces.</w:t>
      </w:r>
    </w:p>
    <w:bookmarkEnd w:id="111"/>
    <w:bookmarkStart w:id="112" w:name="reflection-4"/>
    <w:p>
      <w:pPr>
        <w:pStyle w:val="Heading2"/>
      </w:pPr>
      <w:r>
        <w:t xml:space="preserve">7.3 Reflection</w:t>
      </w:r>
    </w:p>
    <w:p>
      <w:pPr>
        <w:pStyle w:val="FirstParagraph"/>
      </w:pPr>
      <w:r>
        <w:t xml:space="preserve">The workflow of Classification of Surface Reflectance and Top of Atmosphere data intrigues me, as it differs from, yet shares certain features with traditional computer vision tasks like image classification and object detection (in regards of treating pixels as objects/units). Alternatively, Surface Reflectance Classification can be treated as a downstream task for both aforementioned ML tasks, due to its uniqueness in dealing with high-precision satellite data and unseparability (worth debating) from EO processing workflow (calibration etc.). Also, uncertainty of classification genres derived from unsupervised labelling can also be an issue.</w:t>
      </w:r>
    </w:p>
    <w:p>
      <w:pPr>
        <w:pStyle w:val="BodyText"/>
      </w:pPr>
      <w:r>
        <w:t xml:space="preserve">Optionally, in supplementation to manual labelling, automated labelling workflow (e.g. roboflow) can be introduced to curtail repeatitive works in image labelling</w:t>
      </w:r>
      <w:r>
        <w:t xml:space="preserve">(Nair, Paul, and Jacob 2018)</w:t>
      </w:r>
      <w:r>
        <w:t xml:space="preserve">. However, manual labelling is not replaceable at current time</w:t>
      </w:r>
      <w:r>
        <w:t xml:space="preserve"> </w:t>
      </w:r>
      <w:r>
        <w:t xml:space="preserve">(Robison 2018)</w:t>
      </w:r>
      <w:r>
        <w:t xml:space="preserve"> </w:t>
      </w:r>
      <w:r>
        <w:t xml:space="preserve">and the pinning down of ground truth seems to always need human intervention in addition to machine automation.</w:t>
      </w:r>
    </w:p>
    <w:p>
      <w:pPr>
        <w:pStyle w:val="BodyText"/>
      </w:pPr>
      <w:r>
        <w:t xml:space="preserve">The introduction of production accuracy and user accuracy is also interesting, as these terminologies are designed presupposing a customer/producer split, dwarfing precision-recall in readability. The treadeoff to be made between the two is crucial, and this is problematically handled by introducing F1 score with two competitive components, and improved by introducing Receiver Operating Characteristic Curve (ROCC) with two</w:t>
      </w:r>
      <w:r>
        <w:t xml:space="preserve"> </w:t>
      </w:r>
      <w:r>
        <w:t xml:space="preserve">“</w:t>
      </w:r>
      <w:r>
        <w:t xml:space="preserve">good</w:t>
      </w:r>
      <w:r>
        <w:t xml:space="preserve">”</w:t>
      </w:r>
      <w:r>
        <w:t xml:space="preserve"> </w:t>
      </w:r>
      <w:r>
        <w:t xml:space="preserve">indicators, true positive rate and false positive rate.</w:t>
      </w:r>
    </w:p>
    <w:bookmarkEnd w:id="112"/>
    <w:bookmarkEnd w:id="113"/>
    <w:bookmarkStart w:id="114" w:name="section"/>
    <w:p>
      <w:pPr>
        <w:pStyle w:val="Heading1"/>
      </w:pPr>
      <w:r>
        <w:t xml:space="preserve">8. </w:t>
      </w:r>
    </w:p>
    <w:bookmarkEnd w:id="114"/>
    <w:bookmarkStart w:id="131" w:name="week8---temperature-and-policy"/>
    <w:p>
      <w:pPr>
        <w:pStyle w:val="Heading1"/>
      </w:pPr>
      <w:r>
        <w:t xml:space="preserve">9. Week8 - Temperature and Policy</w:t>
      </w:r>
    </w:p>
    <w:p>
      <w:pPr>
        <w:pStyle w:val="FirstParagraph"/>
      </w:pPr>
      <w:r>
        <w:t xml:space="preserve">The</w:t>
      </w:r>
      <w:r>
        <w:t xml:space="preserve"> </w:t>
      </w:r>
      <w:r>
        <w:t xml:space="preserve">“</w:t>
      </w:r>
      <w:r>
        <w:t xml:space="preserve">policy</w:t>
      </w:r>
      <w:r>
        <w:t xml:space="preserve">”</w:t>
      </w:r>
      <w:r>
        <w:t xml:space="preserve"> </w:t>
      </w:r>
      <w:r>
        <w:t xml:space="preserve">section occupies two weeks, mainly trying to introduce how to fit EO data workflow into current policies. To do this, you have to identify the gaps, e.g., that between the overarching global policies, metropolitan plans and local plans. Or, the gap within policies like missing locations in the Singapore one.</w:t>
      </w:r>
    </w:p>
    <w:bookmarkStart w:id="121" w:name="summary-6"/>
    <w:p>
      <w:pPr>
        <w:pStyle w:val="Heading2"/>
      </w:pPr>
      <w:r>
        <w:t xml:space="preserve">9.1 Summary</w:t>
      </w:r>
    </w:p>
    <w:bookmarkStart w:id="120" w:name="Xf1601bdf9a6da49f4bf579e5c88a25b27663356"/>
    <w:p>
      <w:pPr>
        <w:pStyle w:val="Heading3"/>
      </w:pPr>
      <w:r>
        <w:t xml:space="preserve">9.1.1 Urban Heating Islands (UHI) problem and plans</w:t>
      </w:r>
    </w:p>
    <w:bookmarkStart w:id="115" w:name="causes"/>
    <w:p>
      <w:pPr>
        <w:pStyle w:val="Heading4"/>
      </w:pPr>
      <w:r>
        <w:t xml:space="preserve">9.1.1.1 Causes</w:t>
      </w:r>
    </w:p>
    <w:p>
      <w:pPr>
        <w:pStyle w:val="FirstParagraph"/>
      </w:pPr>
      <w:r>
        <w:t xml:space="preserve">Urban areas have comparatively higher atmospheric and surface temperatures than surrounding rural areas, mainly due to</w:t>
      </w:r>
    </w:p>
    <w:p>
      <w:pPr>
        <w:numPr>
          <w:ilvl w:val="0"/>
          <w:numId w:val="1037"/>
        </w:numPr>
        <w:pStyle w:val="Compact"/>
      </w:pPr>
      <w:r>
        <w:t xml:space="preserve">More dark surfaces that retain heat</w:t>
      </w:r>
    </w:p>
    <w:p>
      <w:pPr>
        <w:numPr>
          <w:ilvl w:val="0"/>
          <w:numId w:val="1037"/>
        </w:numPr>
        <w:pStyle w:val="Compact"/>
      </w:pPr>
      <w:r>
        <w:t xml:space="preserve">Less vegetation that cools the environment</w:t>
      </w:r>
    </w:p>
    <w:p>
      <w:pPr>
        <w:pStyle w:val="FirstParagraph"/>
      </w:pPr>
      <w:r>
        <w:t xml:space="preserve">Also, there are other contributors to the heat: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Contributor</w:t>
            </w:r>
          </w:p>
        </w:tc>
        <w:tc>
          <w:tcPr/>
          <w:p>
            <w:pPr>
              <w:pStyle w:val="Compact"/>
              <w:jc w:val="left"/>
            </w:pPr>
            <w:r>
              <w:t xml:space="preserve">Correlation with UHI phenomenon</w:t>
            </w:r>
          </w:p>
        </w:tc>
      </w:tr>
      <w:tr>
        <w:tc>
          <w:tcPr/>
          <w:p>
            <w:pPr>
              <w:pStyle w:val="Compact"/>
              <w:jc w:val="left"/>
            </w:pPr>
            <w:r>
              <w:t xml:space="preserve">Sky View Factor (SVF)</w:t>
            </w:r>
          </w:p>
        </w:tc>
        <w:tc>
          <w:tcPr/>
          <w:p>
            <w:pPr>
              <w:pStyle w:val="Compact"/>
              <w:jc w:val="left"/>
            </w:pPr>
            <w:r>
              <w:t xml:space="preserve">Positive</w:t>
            </w:r>
          </w:p>
        </w:tc>
      </w:tr>
      <w:tr>
        <w:tc>
          <w:tcPr/>
          <w:p>
            <w:pPr>
              <w:pStyle w:val="Compact"/>
              <w:jc w:val="left"/>
            </w:pPr>
            <w:r>
              <w:t xml:space="preserve">Air speed</w:t>
            </w:r>
          </w:p>
        </w:tc>
        <w:tc>
          <w:tcPr/>
          <w:p>
            <w:pPr>
              <w:pStyle w:val="Compact"/>
              <w:jc w:val="left"/>
            </w:pPr>
            <w:r>
              <w:t xml:space="preserve">Negative</w:t>
            </w:r>
          </w:p>
        </w:tc>
      </w:tr>
      <w:tr>
        <w:tc>
          <w:tcPr/>
          <w:p>
            <w:pPr>
              <w:pStyle w:val="Compact"/>
              <w:jc w:val="left"/>
            </w:pPr>
            <w:r>
              <w:t xml:space="preserve">Heavy cloud cover</w:t>
            </w:r>
          </w:p>
        </w:tc>
        <w:tc>
          <w:tcPr/>
          <w:p>
            <w:pPr>
              <w:pStyle w:val="Compact"/>
              <w:jc w:val="left"/>
            </w:pPr>
            <w:r>
              <w:t xml:space="preserve">Positive</w:t>
            </w:r>
          </w:p>
        </w:tc>
      </w:tr>
      <w:tr>
        <w:tc>
          <w:tcPr/>
          <w:p>
            <w:pPr>
              <w:pStyle w:val="Compact"/>
              <w:jc w:val="left"/>
            </w:pPr>
            <w:r>
              <w:t xml:space="preserve">Cyclic solar radiation</w:t>
            </w:r>
          </w:p>
        </w:tc>
        <w:tc>
          <w:tcPr/>
          <w:p>
            <w:pPr>
              <w:pStyle w:val="Compact"/>
              <w:jc w:val="left"/>
            </w:pPr>
            <w:r>
              <w:t xml:space="preserve">Positive</w:t>
            </w:r>
          </w:p>
        </w:tc>
      </w:tr>
      <w:tr>
        <w:tc>
          <w:tcPr/>
          <w:p>
            <w:pPr>
              <w:pStyle w:val="Compact"/>
              <w:jc w:val="left"/>
            </w:pPr>
            <w:r>
              <w:t xml:space="preserve">Building material type</w:t>
            </w:r>
          </w:p>
        </w:tc>
        <w:tc>
          <w:tcPr/>
          <w:p>
            <w:pPr>
              <w:pStyle w:val="Compact"/>
              <w:jc w:val="left"/>
            </w:pPr>
            <w:r>
              <w:t xml:space="preserve">Varies</w:t>
            </w:r>
          </w:p>
        </w:tc>
      </w:tr>
      <w:tr>
        <w:tc>
          <w:tcPr/>
          <w:p>
            <w:pPr>
              <w:pStyle w:val="Compact"/>
              <w:jc w:val="left"/>
            </w:pPr>
            <w:r>
              <w:t xml:space="preserve">Anthropogenic energy</w:t>
            </w:r>
          </w:p>
        </w:tc>
        <w:tc>
          <w:tcPr/>
          <w:p>
            <w:pPr>
              <w:pStyle w:val="Compact"/>
              <w:jc w:val="left"/>
            </w:pPr>
            <w:r>
              <w:t xml:space="preserve">Positive</w:t>
            </w:r>
          </w:p>
        </w:tc>
      </w:tr>
    </w:tbl>
    <w:bookmarkEnd w:id="115"/>
    <w:bookmarkStart w:id="116" w:name="cost"/>
    <w:p>
      <w:pPr>
        <w:pStyle w:val="Heading4"/>
      </w:pPr>
      <w:r>
        <w:t xml:space="preserve">9.1.1.2 Cost</w:t>
      </w:r>
    </w:p>
    <w:p>
      <w:pPr>
        <w:pStyle w:val="FirstParagraph"/>
      </w:pPr>
      <w:r>
        <w:t xml:space="preserve">The cost of the Urban Heat Island can be divided into social, environmental, and economic costs.</w:t>
      </w:r>
    </w:p>
    <w:tbl>
      <w:tblPr>
        <w:tblStyle w:val="Table"/>
        <w:tblW w:type="pct" w:w="5000"/>
        <w:tblLook w:firstRow="1" w:lastRow="0" w:firstColumn="0" w:lastColumn="0" w:noHBand="0" w:noVBand="0" w:val="0020"/>
      </w:tblPr>
      <w:tblGrid>
        <w:gridCol w:w="1933"/>
        <w:gridCol w:w="5986"/>
      </w:tblGrid>
      <w:tr>
        <w:trPr>
          <w:tblHeader w:val="true"/>
        </w:trPr>
        <w:tc>
          <w:tcPr/>
          <w:p>
            <w:pPr>
              <w:pStyle w:val="Compact"/>
              <w:jc w:val="left"/>
            </w:pPr>
            <w:r>
              <w:t xml:space="preserve">Type of Cost</w:t>
            </w:r>
          </w:p>
        </w:tc>
        <w:tc>
          <w:tcPr/>
          <w:p>
            <w:pPr>
              <w:pStyle w:val="Compact"/>
              <w:jc w:val="left"/>
            </w:pPr>
            <w:r>
              <w:t xml:space="preserve">Examples</w:t>
            </w:r>
          </w:p>
        </w:tc>
      </w:tr>
      <w:tr>
        <w:tc>
          <w:tcPr/>
          <w:p>
            <w:pPr>
              <w:pStyle w:val="Compact"/>
              <w:jc w:val="left"/>
            </w:pPr>
            <w:r>
              <w:t xml:space="preserve">Social Costs</w:t>
            </w:r>
          </w:p>
        </w:tc>
        <w:tc>
          <w:tcPr/>
          <w:p>
            <w:pPr>
              <w:pStyle w:val="Compact"/>
              <w:jc w:val="left"/>
            </w:pPr>
            <w:r>
              <w:t xml:space="preserve">Population-adjusted excess mortality rates, heat-related deaths</w:t>
            </w:r>
          </w:p>
        </w:tc>
      </w:tr>
      <w:tr>
        <w:tc>
          <w:tcPr/>
          <w:p>
            <w:pPr>
              <w:pStyle w:val="Compact"/>
              <w:jc w:val="left"/>
            </w:pPr>
            <w:r>
              <w:t xml:space="preserve">Environmental Costs</w:t>
            </w:r>
          </w:p>
        </w:tc>
        <w:tc>
          <w:tcPr/>
          <w:p>
            <w:pPr>
              <w:pStyle w:val="Compact"/>
              <w:jc w:val="left"/>
            </w:pPr>
            <w:r>
              <w:t xml:space="preserve">Increase in fossil fuel usage</w:t>
            </w:r>
          </w:p>
        </w:tc>
      </w:tr>
      <w:tr>
        <w:tc>
          <w:tcPr/>
          <w:p>
            <w:pPr>
              <w:pStyle w:val="Compact"/>
              <w:jc w:val="left"/>
            </w:pPr>
            <w:r>
              <w:t xml:space="preserve">Economic Costs</w:t>
            </w:r>
          </w:p>
        </w:tc>
        <w:tc>
          <w:tcPr/>
          <w:p>
            <w:pPr>
              <w:pStyle w:val="Compact"/>
              <w:jc w:val="left"/>
            </w:pPr>
            <w:r>
              <w:t xml:space="preserve">Loss of Gross Domestic Product (GDP)</w:t>
            </w:r>
          </w:p>
        </w:tc>
      </w:tr>
    </w:tbl>
    <w:p>
      <w:pPr>
        <w:pStyle w:val="BodyText"/>
      </w:pPr>
      <w:r>
        <w:t xml:space="preserve">For instance, under a low greenhouse gas scenario, the percent GDP lost from UHI is estimated to be 0.71% in 2050.</w:t>
      </w:r>
    </w:p>
    <w:bookmarkEnd w:id="116"/>
    <w:bookmarkStart w:id="119" w:name="plans"/>
    <w:p>
      <w:pPr>
        <w:pStyle w:val="Heading4"/>
      </w:pPr>
      <w:r>
        <w:t xml:space="preserve">9.1.1.3 Plans</w:t>
      </w:r>
    </w:p>
    <w:bookmarkStart w:id="117" w:name="global"/>
    <w:p>
      <w:pPr>
        <w:pStyle w:val="Heading5"/>
      </w:pPr>
      <w:r>
        <w:t xml:space="preserve">9.1.1.3.1 Global</w:t>
      </w:r>
    </w:p>
    <w:bookmarkEnd w:id="117"/>
    <w:bookmarkStart w:id="118" w:name="local"/>
    <w:p>
      <w:pPr>
        <w:pStyle w:val="Heading5"/>
      </w:pPr>
      <w:r>
        <w:t xml:space="preserve">9.1.1.3.2 Local</w:t>
      </w:r>
    </w:p>
    <w:tbl>
      <w:tblPr>
        <w:tblStyle w:val="Table"/>
        <w:tblW w:type="pct" w:w="5000"/>
        <w:tblLook w:firstRow="1" w:lastRow="0" w:firstColumn="0" w:lastColumn="0" w:noHBand="0" w:noVBand="0" w:val="0020"/>
      </w:tblPr>
      <w:tblGrid>
        <w:gridCol w:w="670"/>
        <w:gridCol w:w="2741"/>
        <w:gridCol w:w="4508"/>
      </w:tblGrid>
      <w:tr>
        <w:trPr>
          <w:tblHeader w:val="true"/>
        </w:trPr>
        <w:tc>
          <w:tcPr/>
          <w:p>
            <w:pPr>
              <w:pStyle w:val="Compact"/>
              <w:jc w:val="left"/>
            </w:pPr>
            <w:r>
              <w:t xml:space="preserve">City</w:t>
            </w:r>
          </w:p>
        </w:tc>
        <w:tc>
          <w:tcPr/>
          <w:p>
            <w:pPr>
              <w:pStyle w:val="Compact"/>
              <w:jc w:val="left"/>
            </w:pPr>
            <w:r>
              <w:t xml:space="preserve">Initiatives</w:t>
            </w:r>
          </w:p>
        </w:tc>
        <w:tc>
          <w:tcPr/>
          <w:p>
            <w:pPr>
              <w:pStyle w:val="Compact"/>
              <w:jc w:val="left"/>
            </w:pPr>
            <w:r>
              <w:t xml:space="preserve">Technology</w:t>
            </w:r>
          </w:p>
        </w:tc>
      </w:tr>
      <w:tr>
        <w:tc>
          <w:tcPr/>
          <w:p>
            <w:pPr>
              <w:pStyle w:val="Compact"/>
              <w:jc w:val="left"/>
            </w:pPr>
            <w:r>
              <w:t xml:space="preserve">Singapore</w:t>
            </w:r>
          </w:p>
        </w:tc>
        <w:tc>
          <w:tcPr/>
          <w:p>
            <w:pPr>
              <w:pStyle w:val="Compact"/>
              <w:jc w:val="left"/>
            </w:pPr>
            <w:r>
              <w:t xml:space="preserve">Green buildings</w:t>
            </w:r>
          </w:p>
        </w:tc>
        <w:tc>
          <w:tcPr/>
          <w:p>
            <w:pPr>
              <w:pStyle w:val="Compact"/>
              <w:jc w:val="left"/>
            </w:pPr>
            <w:r>
              <w:t xml:space="preserve">Urban greenery</w:t>
            </w:r>
          </w:p>
        </w:tc>
      </w:tr>
      <w:tr>
        <w:tc>
          <w:tcPr/>
          <w:p>
            <w:pPr>
              <w:pStyle w:val="Compact"/>
              <w:jc w:val="left"/>
            </w:pPr>
            <w:r>
              <w:t xml:space="preserve">Medellin</w:t>
            </w:r>
          </w:p>
        </w:tc>
        <w:tc>
          <w:tcPr/>
          <w:p>
            <w:pPr>
              <w:pStyle w:val="Compact"/>
              <w:jc w:val="left"/>
            </w:pPr>
            <w:r>
              <w:t xml:space="preserve">Green Corridors</w:t>
            </w:r>
          </w:p>
        </w:tc>
        <w:tc>
          <w:tcPr/>
          <w:p>
            <w:pPr>
              <w:pStyle w:val="Compact"/>
              <w:jc w:val="left"/>
            </w:pPr>
            <w:r>
              <w:t xml:space="preserve">Urban greenery</w:t>
            </w:r>
          </w:p>
        </w:tc>
      </w:tr>
      <w:tr>
        <w:tc>
          <w:tcPr/>
          <w:p>
            <w:pPr>
              <w:pStyle w:val="Compact"/>
              <w:jc w:val="left"/>
            </w:pPr>
            <w:r>
              <w:t xml:space="preserve">Sydney</w:t>
            </w:r>
          </w:p>
        </w:tc>
        <w:tc>
          <w:tcPr/>
          <w:p>
            <w:pPr>
              <w:pStyle w:val="Compact"/>
              <w:jc w:val="left"/>
            </w:pPr>
            <w:r>
              <w:t xml:space="preserve">Turn Down the Heat Strategy and Action Plan</w:t>
            </w:r>
          </w:p>
        </w:tc>
        <w:tc>
          <w:tcPr/>
          <w:p>
            <w:pPr>
              <w:pStyle w:val="Compact"/>
              <w:jc w:val="left"/>
            </w:pPr>
            <w:r>
              <w:t xml:space="preserve">Reflective roofs/pavements/sidewalks, Cool roads trial in Western Sydney</w:t>
            </w:r>
          </w:p>
        </w:tc>
      </w:tr>
    </w:tbl>
    <w:bookmarkEnd w:id="118"/>
    <w:bookmarkEnd w:id="119"/>
    <w:bookmarkEnd w:id="120"/>
    <w:bookmarkEnd w:id="121"/>
    <w:bookmarkStart w:id="125" w:name="application-4"/>
    <w:p>
      <w:pPr>
        <w:pStyle w:val="Heading2"/>
      </w:pPr>
      <w:r>
        <w:t xml:space="preserve">9.2 Application</w:t>
      </w:r>
    </w:p>
    <w:p>
      <w:pPr>
        <w:pStyle w:val="FirstParagraph"/>
      </w:pPr>
      <w:r>
        <w:t xml:space="preserve">MacLachlan et al. (2021)</w:t>
      </w:r>
      <w:r>
        <w:t xml:space="preserve"> </w:t>
      </w:r>
      <w:r>
        <w:t xml:space="preserve">The document outlines a sub-city urban planning modeling approach using open-source tools to measure and monitor localised urban heat island (UHI) mitigation targets. The methodology involves comparing temperature dynamics of low- and high-density census areas using Earth observation data and determining optimal placement of greening elements in proposed plans using a data-driven model. The document concludes that this approach can be universally integrated into urban planning regulation frameworks to mitigate the localized UHI effect and ensure long-term city sustainability. Also it discusses the impact of low population density on housing in Perth, Australia, and the resulting need for strategic land zonation and sustainability targets. #### Why Data-driven approach</w:t>
      </w:r>
    </w:p>
    <w:bookmarkStart w:id="122" w:name="policy-limitations"/>
    <w:p>
      <w:pPr>
        <w:pStyle w:val="Heading3"/>
      </w:pPr>
      <w:r>
        <w:t xml:space="preserve">9.2.1 Policy limitations</w:t>
      </w:r>
    </w:p>
    <w:p>
      <w:pPr>
        <w:numPr>
          <w:ilvl w:val="0"/>
          <w:numId w:val="1038"/>
        </w:numPr>
        <w:pStyle w:val="Compact"/>
      </w:pPr>
      <w:r>
        <w:t xml:space="preserve">lacking</w:t>
      </w:r>
      <w:r>
        <w:t xml:space="preserve"> </w:t>
      </w:r>
      <w:r>
        <w:rPr>
          <w:bCs/>
          <w:b/>
        </w:rPr>
        <w:t xml:space="preserve">specificities</w:t>
      </w:r>
      <w:r>
        <w:t xml:space="preserve"> </w:t>
      </w:r>
      <w:r>
        <w:t xml:space="preserve">for combating adverse temperature effects at the local level (</w:t>
      </w:r>
      <w:r>
        <w:rPr>
          <w:bCs/>
          <w:b/>
        </w:rPr>
        <w:t xml:space="preserve">sub-city</w:t>
      </w:r>
      <w:r>
        <w:t xml:space="preserve">), therefore not planning practicality</w:t>
      </w:r>
    </w:p>
    <w:p>
      <w:pPr>
        <w:numPr>
          <w:ilvl w:val="0"/>
          <w:numId w:val="1038"/>
        </w:numPr>
        <w:pStyle w:val="Compact"/>
      </w:pPr>
      <w:r>
        <w:t xml:space="preserve">no</w:t>
      </w:r>
      <w:r>
        <w:t xml:space="preserve"> </w:t>
      </w:r>
      <w:r>
        <w:rPr>
          <w:bCs/>
          <w:b/>
        </w:rPr>
        <w:t xml:space="preserve">consistency</w:t>
      </w:r>
      <w:r>
        <w:t xml:space="preserve"> </w:t>
      </w:r>
      <w:r>
        <w:t xml:space="preserve">in planning implementation</w:t>
      </w:r>
      <w:r>
        <w:t xml:space="preserve"> </w:t>
      </w:r>
      <w:r>
        <w:rPr>
          <w:bCs/>
          <w:b/>
        </w:rPr>
        <w:t xml:space="preserve">methodologies</w:t>
      </w:r>
      <w:r>
        <w:t xml:space="preserve"> </w:t>
      </w:r>
      <w:r>
        <w:t xml:space="preserve">or steps for</w:t>
      </w:r>
      <w:r>
        <w:t xml:space="preserve"> </w:t>
      </w:r>
      <w:r>
        <w:rPr>
          <w:bCs/>
          <w:b/>
        </w:rPr>
        <w:t xml:space="preserve">assessing</w:t>
      </w:r>
      <w:r>
        <w:t xml:space="preserve"> </w:t>
      </w:r>
      <w:r>
        <w:t xml:space="preserve">progress toward UHI reduction targets</w:t>
      </w:r>
    </w:p>
    <w:p>
      <w:pPr>
        <w:numPr>
          <w:ilvl w:val="0"/>
          <w:numId w:val="1038"/>
        </w:numPr>
        <w:pStyle w:val="Compact"/>
      </w:pPr>
      <w:r>
        <w:t xml:space="preserve">lackage of empirical</w:t>
      </w:r>
      <w:r>
        <w:t xml:space="preserve"> </w:t>
      </w:r>
      <w:r>
        <w:rPr>
          <w:bCs/>
          <w:b/>
        </w:rPr>
        <w:t xml:space="preserve">evidence for optimizing</w:t>
      </w:r>
      <w:r>
        <w:t xml:space="preserve"> </w:t>
      </w:r>
      <w:r>
        <w:t xml:space="preserve">UHI mitigation strategies</w:t>
      </w:r>
    </w:p>
    <w:bookmarkEnd w:id="122"/>
    <w:bookmarkStart w:id="123" w:name="data-to-drive-the-new-approach"/>
    <w:p>
      <w:pPr>
        <w:pStyle w:val="Heading3"/>
      </w:pPr>
      <w:r>
        <w:t xml:space="preserve">9.2.2 Data to drive the new approach</w:t>
      </w:r>
    </w:p>
    <w:p>
      <w:pPr>
        <w:numPr>
          <w:ilvl w:val="0"/>
          <w:numId w:val="1039"/>
        </w:numPr>
        <w:pStyle w:val="Compact"/>
      </w:pPr>
      <w:r>
        <w:t xml:space="preserve">Earth Observation (</w:t>
      </w:r>
      <w:r>
        <w:rPr>
          <w:bCs/>
          <w:b/>
        </w:rPr>
        <w:t xml:space="preserve">EO</w:t>
      </w:r>
      <w:r>
        <w:t xml:space="preserve">) data can be processed to identify (un)sustainable urban development through aerial assessments of</w:t>
      </w:r>
      <w:r>
        <w:t xml:space="preserve"> </w:t>
      </w:r>
      <w:r>
        <w:rPr>
          <w:bCs/>
          <w:b/>
        </w:rPr>
        <w:t xml:space="preserve">land cover change</w:t>
      </w:r>
    </w:p>
    <w:p>
      <w:pPr>
        <w:numPr>
          <w:ilvl w:val="0"/>
          <w:numId w:val="1039"/>
        </w:numPr>
        <w:pStyle w:val="Compact"/>
      </w:pPr>
      <w:r>
        <w:t xml:space="preserve">temperature</w:t>
      </w:r>
    </w:p>
    <w:p>
      <w:pPr>
        <w:numPr>
          <w:ilvl w:val="0"/>
          <w:numId w:val="1039"/>
        </w:numPr>
        <w:pStyle w:val="Compact"/>
      </w:pPr>
      <w:r>
        <w:t xml:space="preserve">elevation</w:t>
      </w:r>
    </w:p>
    <w:bookmarkEnd w:id="123"/>
    <w:bookmarkStart w:id="124" w:name="advantages-for-the-data-driven-approach"/>
    <w:p>
      <w:pPr>
        <w:pStyle w:val="Heading3"/>
      </w:pPr>
      <w:r>
        <w:t xml:space="preserve">9.2.3 Advantages for the Data-driven approach</w:t>
      </w:r>
    </w:p>
    <w:p>
      <w:pPr>
        <w:numPr>
          <w:ilvl w:val="0"/>
          <w:numId w:val="1040"/>
        </w:numPr>
        <w:pStyle w:val="Compact"/>
      </w:pPr>
      <w:r>
        <w:t xml:space="preserve">EO data can produce</w:t>
      </w:r>
      <w:r>
        <w:t xml:space="preserve"> </w:t>
      </w:r>
      <w:r>
        <w:rPr>
          <w:bCs/>
          <w:b/>
        </w:rPr>
        <w:t xml:space="preserve">consistent information</w:t>
      </w:r>
      <w:r>
        <w:t xml:space="preserve"> </w:t>
      </w:r>
      <w:r>
        <w:t xml:space="preserve">necessary for restricting unsustainable development</w:t>
      </w:r>
    </w:p>
    <w:p>
      <w:pPr>
        <w:numPr>
          <w:ilvl w:val="0"/>
          <w:numId w:val="1040"/>
        </w:numPr>
        <w:pStyle w:val="Compact"/>
      </w:pPr>
      <w:r>
        <w:rPr>
          <w:bCs/>
          <w:b/>
        </w:rPr>
        <w:t xml:space="preserve">monitor</w:t>
      </w:r>
      <w:r>
        <w:t xml:space="preserve"> </w:t>
      </w:r>
      <w:r>
        <w:t xml:space="preserve">UHI effects based on associated land-temperature dynamics</w:t>
      </w:r>
    </w:p>
    <w:p>
      <w:pPr>
        <w:numPr>
          <w:ilvl w:val="0"/>
          <w:numId w:val="1040"/>
        </w:numPr>
        <w:pStyle w:val="Compact"/>
      </w:pPr>
      <w:r>
        <w:t xml:space="preserve">Assessment at finer spatial scales (e.g., block subdivisions)</w:t>
      </w:r>
    </w:p>
    <w:bookmarkEnd w:id="124"/>
    <w:bookmarkEnd w:id="125"/>
    <w:bookmarkStart w:id="128" w:name="methodology"/>
    <w:p>
      <w:pPr>
        <w:pStyle w:val="Heading2"/>
      </w:pPr>
      <w:r>
        <w:t xml:space="preserve">9.3 Methodology</w:t>
      </w:r>
    </w:p>
    <w:p>
      <w:r>
        <w:pict>
          <v:rect style="width:0;height:1.5pt" o:hralign="center" o:hrstd="t" o:hr="t"/>
        </w:pict>
      </w:r>
    </w:p>
    <w:bookmarkStart w:id="126" w:name="temperature-modeling"/>
    <w:p>
      <w:pPr>
        <w:pStyle w:val="Heading3"/>
      </w:pPr>
      <w:r>
        <w:t xml:space="preserve">9.3.1 Temperature Modeling</w:t>
      </w:r>
    </w:p>
    <w:p>
      <w:r>
        <w:pict>
          <v:rect style="width:0;height:1.5pt" o:hralign="center" o:hrstd="t" o:hr="t"/>
        </w:pict>
      </w:r>
    </w:p>
    <w:p>
      <w:pPr>
        <w:numPr>
          <w:ilvl w:val="0"/>
          <w:numId w:val="1041"/>
        </w:numPr>
        <w:pStyle w:val="Compact"/>
      </w:pPr>
      <w:r>
        <w:t xml:space="preserve">Modeled temperature every 3 hours using SOLWEIG model between 2008 and 2010</w:t>
      </w:r>
    </w:p>
    <w:p>
      <w:r>
        <w:pict>
          <v:rect style="width:0;height:1.5pt" o:hralign="center" o:hrstd="t" o:hr="t"/>
        </w:pict>
      </w:r>
    </w:p>
    <w:p>
      <w:pPr>
        <w:numPr>
          <w:ilvl w:val="0"/>
          <w:numId w:val="1042"/>
        </w:numPr>
        <w:pStyle w:val="Compact"/>
      </w:pPr>
      <w:r>
        <w:t xml:space="preserve">Inputs generated from meteorological data, land cover, building DSM, ground DTM, and vegetation canopy REM in QGIS</w:t>
      </w:r>
    </w:p>
    <w:p>
      <w:r>
        <w:pict>
          <v:rect style="width:0;height:1.5pt" o:hralign="center" o:hrstd="t" o:hr="t"/>
        </w:pict>
      </w:r>
    </w:p>
    <w:p>
      <w:pPr>
        <w:numPr>
          <w:ilvl w:val="0"/>
          <w:numId w:val="1043"/>
        </w:numPr>
        <w:pStyle w:val="Compact"/>
      </w:pPr>
      <w:r>
        <w:t xml:space="preserve">SVF computed from vegetation canopy REM, building DSM, and ground DTM using UMEP plugin</w:t>
      </w:r>
    </w:p>
    <w:p>
      <w:r>
        <w:pict>
          <v:rect style="width:0;height:1.5pt" o:hralign="center" o:hrstd="t" o:hr="t"/>
        </w:pict>
      </w:r>
    </w:p>
    <w:p>
      <w:pPr>
        <w:numPr>
          <w:ilvl w:val="0"/>
          <w:numId w:val="1044"/>
        </w:numPr>
        <w:pStyle w:val="Compact"/>
      </w:pPr>
      <w:r>
        <w:t xml:space="preserve">Building wall heights and aspect generated from DSM and DTM using UMEP plugin</w:t>
      </w:r>
    </w:p>
    <w:p>
      <w:r>
        <w:pict>
          <v:rect style="width:0;height:1.5pt" o:hralign="center" o:hrstd="t" o:hr="t"/>
        </w:pict>
      </w:r>
    </w:p>
    <w:bookmarkEnd w:id="126"/>
    <w:bookmarkStart w:id="127" w:name="data-driven-tree-placement"/>
    <w:p>
      <w:pPr>
        <w:pStyle w:val="Heading3"/>
      </w:pPr>
      <w:r>
        <w:t xml:space="preserve">9.3.2 Data-Driven Tree Placement</w:t>
      </w:r>
    </w:p>
    <w:p>
      <w:r>
        <w:pict>
          <v:rect style="width:0;height:1.5pt" o:hralign="center" o:hrstd="t" o:hr="t"/>
        </w:pict>
      </w:r>
    </w:p>
    <w:p>
      <w:pPr>
        <w:numPr>
          <w:ilvl w:val="0"/>
          <w:numId w:val="1045"/>
        </w:numPr>
        <w:pStyle w:val="Compact"/>
      </w:pPr>
      <w:r>
        <w:t xml:space="preserve">Site selected for modeling temperature in the City of Fremantle</w:t>
      </w:r>
    </w:p>
    <w:p>
      <w:r>
        <w:pict>
          <v:rect style="width:0;height:1.5pt" o:hralign="center" o:hrstd="t" o:hr="t"/>
        </w:pict>
      </w:r>
    </w:p>
    <w:p>
      <w:pPr>
        <w:numPr>
          <w:ilvl w:val="0"/>
          <w:numId w:val="1046"/>
        </w:numPr>
        <w:pStyle w:val="Compact"/>
      </w:pPr>
      <w:r>
        <w:t xml:space="preserve">Three scenarios processed: current urban footprint, proposed changes, and proposed redevelopment with no trees</w:t>
      </w:r>
    </w:p>
    <w:p>
      <w:r>
        <w:pict>
          <v:rect style="width:0;height:1.5pt" o:hralign="center" o:hrstd="t" o:hr="t"/>
        </w:pict>
      </w:r>
    </w:p>
    <w:p>
      <w:pPr>
        <w:numPr>
          <w:ilvl w:val="0"/>
          <w:numId w:val="1047"/>
        </w:numPr>
        <w:pStyle w:val="Compact"/>
      </w:pPr>
      <w:r>
        <w:t xml:space="preserve">Highest temperatures identified and used to redesign tree placement</w:t>
      </w:r>
    </w:p>
    <w:p>
      <w:r>
        <w:pict>
          <v:rect style="width:0;height:1.5pt" o:hralign="center" o:hrstd="t" o:hr="t"/>
        </w:pict>
      </w:r>
    </w:p>
    <w:p>
      <w:pPr>
        <w:numPr>
          <w:ilvl w:val="0"/>
          <w:numId w:val="1048"/>
        </w:numPr>
        <w:pStyle w:val="Compact"/>
      </w:pPr>
      <w:r>
        <w:t xml:space="preserve">15 trees distributed according to original design aspects</w:t>
      </w:r>
    </w:p>
    <w:p>
      <w:r>
        <w:pict>
          <v:rect style="width:0;height:1.5pt" o:hralign="center" o:hrstd="t" o:hr="t"/>
        </w:pict>
      </w:r>
    </w:p>
    <w:p>
      <w:pPr>
        <w:numPr>
          <w:ilvl w:val="0"/>
          <w:numId w:val="1049"/>
        </w:numPr>
        <w:pStyle w:val="Compact"/>
      </w:pPr>
      <w:r>
        <w:t xml:space="preserve">Updated vegetation canopy REM reflected new tree locations</w:t>
      </w:r>
    </w:p>
    <w:p>
      <w:r>
        <w:pict>
          <v:rect style="width:0;height:1.5pt" o:hralign="center" o:hrstd="t" o:hr="t"/>
        </w:pict>
      </w:r>
    </w:p>
    <w:p>
      <w:pPr>
        <w:numPr>
          <w:ilvl w:val="0"/>
          <w:numId w:val="1050"/>
        </w:numPr>
        <w:pStyle w:val="Compact"/>
      </w:pPr>
      <w:r>
        <w:t xml:space="preserve">Analysis re-run to compare temperature across redevelopment site</w:t>
      </w:r>
    </w:p>
    <w:p>
      <w:r>
        <w:pict>
          <v:rect style="width:0;height:1.5pt" o:hralign="center" o:hrstd="t" o:hr="t"/>
        </w:pict>
      </w:r>
    </w:p>
    <w:p>
      <w:pPr>
        <w:numPr>
          <w:ilvl w:val="0"/>
          <w:numId w:val="1051"/>
        </w:numPr>
        <w:pStyle w:val="Compact"/>
      </w:pPr>
      <w:r>
        <w:t xml:space="preserve">Modeled all scenarios accounting for influence of neighboring landscape features</w:t>
      </w:r>
    </w:p>
    <w:p>
      <w:r>
        <w:pict>
          <v:rect style="width:0;height:1.5pt" o:hralign="center" o:hrstd="t" o:hr="t"/>
        </w:pict>
      </w:r>
    </w:p>
    <w:bookmarkEnd w:id="127"/>
    <w:bookmarkEnd w:id="128"/>
    <w:bookmarkStart w:id="129" w:name="result"/>
    <w:p>
      <w:pPr>
        <w:pStyle w:val="Heading2"/>
      </w:pPr>
      <w:r>
        <w:t xml:space="preserve">9.4 Result</w:t>
      </w:r>
    </w:p>
    <w:p>
      <w:pPr>
        <w:pStyle w:val="FirstParagraph"/>
      </w:pPr>
      <w:r>
        <w:t xml:space="preserve">Table 1: Results of assessments of urban design factors on UHI effect in Perth.</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Factors assessed</w:t>
            </w:r>
          </w:p>
        </w:tc>
        <w:tc>
          <w:tcPr/>
          <w:p>
            <w:pPr>
              <w:pStyle w:val="Compact"/>
              <w:jc w:val="left"/>
            </w:pPr>
            <w:r>
              <w:t xml:space="preserve">Effect on UHI effect</w:t>
            </w:r>
          </w:p>
        </w:tc>
      </w:tr>
      <w:tr>
        <w:tc>
          <w:tcPr/>
          <w:p>
            <w:pPr>
              <w:pStyle w:val="Compact"/>
              <w:jc w:val="left"/>
            </w:pPr>
            <w:r>
              <w:t xml:space="preserve">Vegetation cover</w:t>
            </w:r>
          </w:p>
        </w:tc>
        <w:tc>
          <w:tcPr/>
          <w:p>
            <w:pPr>
              <w:pStyle w:val="Compact"/>
              <w:jc w:val="left"/>
            </w:pPr>
            <w:r>
              <w:t xml:space="preserve">Negative correlation with UHI effect</w:t>
            </w:r>
          </w:p>
        </w:tc>
      </w:tr>
      <w:tr>
        <w:tc>
          <w:tcPr/>
          <w:p>
            <w:pPr>
              <w:pStyle w:val="Compact"/>
              <w:jc w:val="left"/>
            </w:pPr>
            <w:r>
              <w:t xml:space="preserve">Canopy cover</w:t>
            </w:r>
          </w:p>
        </w:tc>
        <w:tc>
          <w:tcPr/>
          <w:p>
            <w:pPr>
              <w:pStyle w:val="Compact"/>
              <w:jc w:val="left"/>
            </w:pPr>
            <w:r>
              <w:t xml:space="preserve">Negative correlation with UHI effect</w:t>
            </w:r>
          </w:p>
        </w:tc>
      </w:tr>
      <w:tr>
        <w:tc>
          <w:tcPr/>
          <w:p>
            <w:pPr>
              <w:pStyle w:val="Compact"/>
              <w:jc w:val="left"/>
            </w:pPr>
            <w:r>
              <w:t xml:space="preserve">Building density</w:t>
            </w:r>
          </w:p>
        </w:tc>
        <w:tc>
          <w:tcPr/>
          <w:p>
            <w:pPr>
              <w:pStyle w:val="Compact"/>
              <w:jc w:val="left"/>
            </w:pPr>
            <w:r>
              <w:t xml:space="preserve">Positive correlation with UHI effect</w:t>
            </w:r>
          </w:p>
        </w:tc>
      </w:tr>
      <w:tr>
        <w:tc>
          <w:tcPr/>
          <w:p>
            <w:pPr>
              <w:pStyle w:val="Compact"/>
              <w:jc w:val="left"/>
            </w:pPr>
            <w:r>
              <w:t xml:space="preserve">Building height</w:t>
            </w:r>
          </w:p>
        </w:tc>
        <w:tc>
          <w:tcPr/>
          <w:p>
            <w:pPr>
              <w:pStyle w:val="Compact"/>
              <w:jc w:val="left"/>
            </w:pPr>
            <w:r>
              <w:t xml:space="preserve">Positive correlation with UHI effect</w:t>
            </w:r>
          </w:p>
        </w:tc>
      </w:tr>
      <w:tr>
        <w:tc>
          <w:tcPr/>
          <w:p>
            <w:pPr>
              <w:pStyle w:val="Compact"/>
              <w:jc w:val="left"/>
            </w:pPr>
            <w:r>
              <w:t xml:space="preserve">Albedo</w:t>
            </w:r>
          </w:p>
        </w:tc>
        <w:tc>
          <w:tcPr/>
          <w:p>
            <w:pPr>
              <w:pStyle w:val="Compact"/>
              <w:jc w:val="left"/>
            </w:pPr>
            <w:r>
              <w:t xml:space="preserve">Negative correlation with UHI effect</w:t>
            </w:r>
          </w:p>
        </w:tc>
      </w:tr>
      <w:tr>
        <w:tc>
          <w:tcPr/>
          <w:p>
            <w:pPr>
              <w:pStyle w:val="Compact"/>
              <w:jc w:val="left"/>
            </w:pPr>
            <w:r>
              <w:t xml:space="preserve">Land use</w:t>
            </w:r>
          </w:p>
        </w:tc>
        <w:tc>
          <w:tcPr/>
          <w:p>
            <w:pPr>
              <w:pStyle w:val="Compact"/>
              <w:jc w:val="left"/>
            </w:pPr>
            <w:r>
              <w:t xml:space="preserve">Negative correlation with UHI effect</w:t>
            </w:r>
          </w:p>
        </w:tc>
      </w:tr>
      <w:tr>
        <w:tc>
          <w:tcPr/>
          <w:p>
            <w:pPr>
              <w:pStyle w:val="Compact"/>
              <w:jc w:val="left"/>
            </w:pPr>
            <w:r>
              <w:t xml:space="preserve">Urban sprawl</w:t>
            </w:r>
          </w:p>
        </w:tc>
        <w:tc>
          <w:tcPr/>
          <w:p>
            <w:pPr>
              <w:pStyle w:val="Compact"/>
              <w:jc w:val="left"/>
            </w:pPr>
            <w:r>
              <w:t xml:space="preserve">Positive correlation with UHI effect</w:t>
            </w:r>
          </w:p>
        </w:tc>
      </w:tr>
    </w:tbl>
    <w:p>
      <w:pPr>
        <w:pStyle w:val="BodyText"/>
      </w:pPr>
      <w:r>
        <w:t xml:space="preserve">Table 2: Total population and population density per 0.1 km2 between 2011 and 2016 for Subiaco and Currambine SA1s as defined by the ABS.</w:t>
      </w:r>
    </w:p>
    <w:tbl>
      <w:tblPr>
        <w:tblStyle w:val="Table"/>
        <w:tblW w:type="pct" w:w="5000"/>
        <w:tblLook w:firstRow="1" w:lastRow="0" w:firstColumn="0" w:lastColumn="0" w:noHBand="0" w:noVBand="0" w:val="0020"/>
      </w:tblPr>
      <w:tblGrid>
        <w:gridCol w:w="609"/>
        <w:gridCol w:w="1472"/>
        <w:gridCol w:w="1472"/>
        <w:gridCol w:w="2183"/>
        <w:gridCol w:w="2183"/>
      </w:tblGrid>
      <w:tr>
        <w:trPr>
          <w:tblHeader w:val="true"/>
        </w:trPr>
        <w:tc>
          <w:tcPr/>
          <w:p>
            <w:pPr>
              <w:pStyle w:val="Compact"/>
              <w:jc w:val="left"/>
            </w:pPr>
            <w:r>
              <w:rPr>
                <w:bCs/>
                <w:b/>
              </w:rPr>
              <w:t xml:space="preserve">SA1</w:t>
            </w:r>
          </w:p>
        </w:tc>
        <w:tc>
          <w:tcPr/>
          <w:p>
            <w:pPr>
              <w:pStyle w:val="Compact"/>
              <w:jc w:val="left"/>
            </w:pPr>
            <w:r>
              <w:rPr>
                <w:bCs/>
                <w:b/>
              </w:rPr>
              <w:t xml:space="preserve">Total Population (2011)</w:t>
            </w:r>
          </w:p>
        </w:tc>
        <w:tc>
          <w:tcPr/>
          <w:p>
            <w:pPr>
              <w:pStyle w:val="Compact"/>
              <w:jc w:val="left"/>
            </w:pPr>
            <w:r>
              <w:rPr>
                <w:bCs/>
                <w:b/>
              </w:rPr>
              <w:t xml:space="preserve">Total Population (2016)</w:t>
            </w:r>
          </w:p>
        </w:tc>
        <w:tc>
          <w:tcPr/>
          <w:p>
            <w:pPr>
              <w:pStyle w:val="Compact"/>
              <w:jc w:val="left"/>
            </w:pPr>
            <w:r>
              <w:rPr>
                <w:bCs/>
                <w:b/>
              </w:rPr>
              <w:t xml:space="preserve">Population Density per 0.1 km2 (2011)</w:t>
            </w:r>
          </w:p>
        </w:tc>
        <w:tc>
          <w:tcPr/>
          <w:p>
            <w:pPr>
              <w:pStyle w:val="Compact"/>
              <w:jc w:val="left"/>
            </w:pPr>
            <w:r>
              <w:rPr>
                <w:bCs/>
                <w:b/>
              </w:rPr>
              <w:t xml:space="preserve">Population Density per 0.1 km2 (2016)</w:t>
            </w:r>
          </w:p>
        </w:tc>
      </w:tr>
      <w:tr>
        <w:tc>
          <w:tcPr/>
          <w:p>
            <w:pPr>
              <w:pStyle w:val="Compact"/>
              <w:jc w:val="left"/>
            </w:pPr>
            <w:r>
              <w:t xml:space="preserve">Subiaco</w:t>
            </w:r>
          </w:p>
        </w:tc>
        <w:tc>
          <w:tcPr/>
          <w:p>
            <w:pPr>
              <w:pStyle w:val="Compact"/>
              <w:jc w:val="left"/>
            </w:pPr>
            <w:r>
              <w:t xml:space="preserve">N/A</w:t>
            </w:r>
          </w:p>
        </w:tc>
        <w:tc>
          <w:tcPr/>
          <w:p>
            <w:pPr>
              <w:pStyle w:val="Compact"/>
              <w:jc w:val="left"/>
            </w:pPr>
            <w:r>
              <w:t xml:space="preserve">N/A</w:t>
            </w:r>
          </w:p>
        </w:tc>
        <w:tc>
          <w:tcPr/>
          <w:p>
            <w:pPr>
              <w:pStyle w:val="Compact"/>
              <w:jc w:val="left"/>
            </w:pPr>
            <w:r>
              <w:t xml:space="preserve">325</w:t>
            </w:r>
          </w:p>
        </w:tc>
        <w:tc>
          <w:tcPr/>
          <w:p>
            <w:pPr>
              <w:pStyle w:val="Compact"/>
              <w:jc w:val="left"/>
            </w:pPr>
            <w:r>
              <w:t xml:space="preserve">712</w:t>
            </w:r>
          </w:p>
        </w:tc>
      </w:tr>
      <w:tr>
        <w:tc>
          <w:tcPr/>
          <w:p>
            <w:pPr>
              <w:pStyle w:val="Compact"/>
              <w:jc w:val="left"/>
            </w:pPr>
            <w:r>
              <w:t xml:space="preserve">Currambine</w:t>
            </w:r>
          </w:p>
        </w:tc>
        <w:tc>
          <w:tcPr/>
          <w:p>
            <w:pPr>
              <w:pStyle w:val="Compact"/>
              <w:jc w:val="left"/>
            </w:pPr>
            <w:r>
              <w:t xml:space="preserve">N/A</w:t>
            </w:r>
          </w:p>
        </w:tc>
        <w:tc>
          <w:tcPr/>
          <w:p>
            <w:pPr>
              <w:pStyle w:val="Compact"/>
              <w:jc w:val="left"/>
            </w:pPr>
            <w:r>
              <w:t xml:space="preserve">N/A</w:t>
            </w:r>
          </w:p>
        </w:tc>
        <w:tc>
          <w:tcPr/>
          <w:p>
            <w:pPr>
              <w:pStyle w:val="Compact"/>
              <w:jc w:val="left"/>
            </w:pPr>
            <w:r>
              <w:t xml:space="preserve">310</w:t>
            </w:r>
          </w:p>
        </w:tc>
        <w:tc>
          <w:tcPr/>
          <w:p>
            <w:pPr>
              <w:pStyle w:val="Compact"/>
              <w:jc w:val="left"/>
            </w:pPr>
            <w:r>
              <w:t xml:space="preserve">324</w:t>
            </w:r>
          </w:p>
        </w:tc>
      </w:tr>
    </w:tbl>
    <w:bookmarkEnd w:id="129"/>
    <w:bookmarkStart w:id="130" w:name="reflection-5"/>
    <w:p>
      <w:pPr>
        <w:pStyle w:val="Heading2"/>
      </w:pPr>
      <w:r>
        <w:t xml:space="preserve">9.5 Reflection</w:t>
      </w:r>
    </w:p>
    <w:p>
      <w:pPr>
        <w:numPr>
          <w:ilvl w:val="0"/>
          <w:numId w:val="1052"/>
        </w:numPr>
        <w:pStyle w:val="Compact"/>
      </w:pPr>
      <w:r>
        <w:t xml:space="preserve">Case study: Superblocks, Barcelona</w:t>
      </w:r>
    </w:p>
    <w:p>
      <w:pPr>
        <w:pStyle w:val="FirstParagraph"/>
      </w:pPr>
      <w:r>
        <w:t xml:space="preserve">Basically about pedestrian economy. Though there have been many retail modes like KFC and other American fast food, the experience from Europe tells that economy vitality can have a boost with pedestrian-dominated areas. See Barcelona</w:t>
      </w:r>
    </w:p>
    <w:bookmarkEnd w:id="130"/>
    <w:bookmarkEnd w:id="131"/>
    <w:bookmarkStart w:id="148" w:name="Xf25d4a036a0a11b071de824447f9beda0b29a41"/>
    <w:p>
      <w:pPr>
        <w:pStyle w:val="Heading1"/>
      </w:pPr>
      <w:r>
        <w:t xml:space="preserve">10. Week 9 - Synthetic Aperture Radar (SAR) data</w:t>
      </w:r>
    </w:p>
    <w:bookmarkStart w:id="141" w:name="summary-7"/>
    <w:p>
      <w:pPr>
        <w:pStyle w:val="Heading2"/>
      </w:pPr>
      <w:r>
        <w:t xml:space="preserve">10.1 Summary</w:t>
      </w:r>
    </w:p>
    <w:bookmarkStart w:id="132" w:name="a-quick-overview"/>
    <w:p>
      <w:pPr>
        <w:pStyle w:val="Heading3"/>
      </w:pPr>
      <w:r>
        <w:t xml:space="preserve">10.1.1 A quick overview</w:t>
      </w:r>
    </w:p>
    <w:p>
      <w:pPr>
        <w:pStyle w:val="FirstParagraph"/>
      </w:pPr>
      <w:r>
        <w:t xml:space="preserve">This week addresses problems in</w:t>
      </w:r>
    </w:p>
    <w:p>
      <w:pPr>
        <w:numPr>
          <w:ilvl w:val="0"/>
          <w:numId w:val="1053"/>
        </w:numPr>
        <w:pStyle w:val="Compact"/>
      </w:pPr>
      <w:r>
        <w:t xml:space="preserve">The object of using Synthetic Aperture Radar (SAR)</w:t>
      </w:r>
    </w:p>
    <w:p>
      <w:pPr>
        <w:pStyle w:val="FirstParagraph"/>
      </w:pPr>
      <w:r>
        <w:t xml:space="preserve">Detecting changes in the Earth’s surface over time</w:t>
      </w:r>
    </w:p>
    <w:p>
      <w:pPr>
        <w:numPr>
          <w:ilvl w:val="0"/>
          <w:numId w:val="1054"/>
        </w:numPr>
      </w:pPr>
      <w:r>
        <w:t xml:space="preserve">The advantages of SAR for change detection</w:t>
      </w:r>
    </w:p>
    <w:p>
      <w:pPr>
        <w:numPr>
          <w:ilvl w:val="1"/>
          <w:numId w:val="1055"/>
        </w:numPr>
        <w:pStyle w:val="Compact"/>
      </w:pPr>
      <w:r>
        <w:t xml:space="preserve">see through clouds</w:t>
      </w:r>
    </w:p>
    <w:p>
      <w:pPr>
        <w:numPr>
          <w:ilvl w:val="1"/>
          <w:numId w:val="1055"/>
        </w:numPr>
        <w:pStyle w:val="Compact"/>
      </w:pPr>
      <w:r>
        <w:t xml:space="preserve">high temporal resolution</w:t>
      </w:r>
    </w:p>
    <w:p>
      <w:pPr>
        <w:numPr>
          <w:ilvl w:val="0"/>
          <w:numId w:val="1054"/>
        </w:numPr>
      </w:pPr>
      <w:r>
        <w:t xml:space="preserve">Techniques for change detection with SAR?</w:t>
      </w:r>
    </w:p>
    <w:p>
      <w:pPr>
        <w:numPr>
          <w:ilvl w:val="1"/>
          <w:numId w:val="1056"/>
        </w:numPr>
        <w:pStyle w:val="Compact"/>
      </w:pPr>
      <w:r>
        <w:t xml:space="preserve">ratio</w:t>
      </w:r>
    </w:p>
    <w:p>
      <w:pPr>
        <w:numPr>
          <w:ilvl w:val="1"/>
          <w:numId w:val="1056"/>
        </w:numPr>
        <w:pStyle w:val="Compact"/>
      </w:pPr>
      <w:r>
        <w:t xml:space="preserve">log ratios between two images</w:t>
      </w:r>
    </w:p>
    <w:p>
      <w:pPr>
        <w:numPr>
          <w:ilvl w:val="1"/>
          <w:numId w:val="1056"/>
        </w:numPr>
        <w:pStyle w:val="Compact"/>
      </w:pPr>
      <w:r>
        <w:t xml:space="preserve">t-tests</w:t>
      </w:r>
    </w:p>
    <w:p>
      <w:pPr>
        <w:numPr>
          <w:ilvl w:val="0"/>
          <w:numId w:val="1054"/>
        </w:numPr>
      </w:pPr>
      <w:r>
        <w:t xml:space="preserve">fused with other data?</w:t>
      </w:r>
    </w:p>
    <w:p>
      <w:pPr>
        <w:numPr>
          <w:ilvl w:val="0"/>
          <w:numId w:val="1000"/>
        </w:numPr>
      </w:pPr>
      <w:r>
        <w:t xml:space="preserve">Yes, with optical data using techniques such as</w:t>
      </w:r>
    </w:p>
    <w:p>
      <w:pPr>
        <w:numPr>
          <w:ilvl w:val="1"/>
          <w:numId w:val="1057"/>
        </w:numPr>
        <w:pStyle w:val="Compact"/>
      </w:pPr>
      <w:r>
        <w:t xml:space="preserve">principal component analysis</w:t>
      </w:r>
    </w:p>
    <w:p>
      <w:pPr>
        <w:numPr>
          <w:ilvl w:val="1"/>
          <w:numId w:val="1057"/>
        </w:numPr>
        <w:pStyle w:val="Compact"/>
      </w:pPr>
      <w:r>
        <w:t xml:space="preserve">object-based image analysis</w:t>
      </w:r>
    </w:p>
    <w:p>
      <w:pPr>
        <w:numPr>
          <w:ilvl w:val="1"/>
          <w:numId w:val="1057"/>
        </w:numPr>
        <w:pStyle w:val="Compact"/>
      </w:pPr>
      <w:r>
        <w:t xml:space="preserve">intensity fusion</w:t>
      </w:r>
    </w:p>
    <w:p>
      <w:pPr>
        <w:numPr>
          <w:ilvl w:val="0"/>
          <w:numId w:val="1054"/>
        </w:numPr>
      </w:pPr>
      <w:r>
        <w:t xml:space="preserve">Applications?</w:t>
      </w:r>
    </w:p>
    <w:p>
      <w:pPr>
        <w:numPr>
          <w:ilvl w:val="1"/>
          <w:numId w:val="1058"/>
        </w:numPr>
        <w:pStyle w:val="Compact"/>
      </w:pPr>
      <w:r>
        <w:t xml:space="preserve">monitoring land use changes</w:t>
      </w:r>
    </w:p>
    <w:p>
      <w:pPr>
        <w:numPr>
          <w:ilvl w:val="1"/>
          <w:numId w:val="1058"/>
        </w:numPr>
        <w:pStyle w:val="Compact"/>
      </w:pPr>
      <w:r>
        <w:t xml:space="preserve">detecting deforestation</w:t>
      </w:r>
    </w:p>
    <w:p>
      <w:pPr>
        <w:numPr>
          <w:ilvl w:val="1"/>
          <w:numId w:val="1058"/>
        </w:numPr>
        <w:pStyle w:val="Compact"/>
      </w:pPr>
      <w:r>
        <w:t xml:space="preserve">identifying urban growth pattern</w:t>
      </w:r>
    </w:p>
    <w:bookmarkEnd w:id="132"/>
    <w:bookmarkStart w:id="133" w:name="sar-fundamentals"/>
    <w:p>
      <w:pPr>
        <w:pStyle w:val="Heading3"/>
      </w:pPr>
      <w:r>
        <w:t xml:space="preserve">10.1.2 SAR fundamentals</w:t>
      </w:r>
    </w:p>
    <w:p>
      <w:pPr>
        <w:numPr>
          <w:ilvl w:val="0"/>
          <w:numId w:val="1059"/>
        </w:numPr>
      </w:pPr>
      <w:r>
        <w:t xml:space="preserve">Definition: Synthetic Aperture Radar (SAR) is a type of radar that uses microwave signals to create high-resolution images of the Earth’s surface.</w:t>
      </w:r>
    </w:p>
    <w:p>
      <w:pPr>
        <w:numPr>
          <w:ilvl w:val="0"/>
          <w:numId w:val="1059"/>
        </w:numPr>
      </w:pPr>
      <w:r>
        <w:t xml:space="preserve">Advantages:</w:t>
      </w:r>
    </w:p>
    <w:p>
      <w:pPr>
        <w:numPr>
          <w:ilvl w:val="1"/>
          <w:numId w:val="1060"/>
        </w:numPr>
        <w:pStyle w:val="Compact"/>
      </w:pPr>
      <w:r>
        <w:t xml:space="preserve">Operates in all weather conditions</w:t>
      </w:r>
    </w:p>
    <w:p>
      <w:pPr>
        <w:numPr>
          <w:ilvl w:val="1"/>
          <w:numId w:val="1060"/>
        </w:numPr>
        <w:pStyle w:val="Compact"/>
      </w:pPr>
      <w:r>
        <w:t xml:space="preserve">Penetrates through clouds and vegetation cover.</w:t>
      </w:r>
    </w:p>
    <w:p>
      <w:pPr>
        <w:numPr>
          <w:ilvl w:val="0"/>
          <w:numId w:val="1059"/>
        </w:numPr>
      </w:pPr>
      <w:r>
        <w:t xml:space="preserve">Limitations</w:t>
      </w:r>
    </w:p>
    <w:p>
      <w:pPr>
        <w:numPr>
          <w:ilvl w:val="1"/>
          <w:numId w:val="1061"/>
        </w:numPr>
        <w:pStyle w:val="Compact"/>
      </w:pPr>
      <w:r>
        <w:t xml:space="preserve">Sensitive to surface roughness; limited spatial resolution.</w:t>
      </w:r>
    </w:p>
    <w:p>
      <w:pPr>
        <w:numPr>
          <w:ilvl w:val="0"/>
          <w:numId w:val="1059"/>
        </w:numPr>
      </w:pPr>
      <w:r>
        <w:t xml:space="preserve">Processing Techniques</w:t>
      </w:r>
    </w:p>
    <w:p>
      <w:pPr>
        <w:numPr>
          <w:ilvl w:val="1"/>
          <w:numId w:val="1062"/>
        </w:numPr>
        <w:pStyle w:val="Compact"/>
      </w:pPr>
      <w:r>
        <w:t xml:space="preserve">Interferometry: combines multiple SAR images to create 3D maps of the Earth’s surface.</w:t>
      </w:r>
    </w:p>
    <w:p>
      <w:pPr>
        <w:numPr>
          <w:ilvl w:val="1"/>
          <w:numId w:val="1062"/>
        </w:numPr>
        <w:pStyle w:val="Compact"/>
      </w:pPr>
      <w:r>
        <w:t xml:space="preserve">Polarimetry: analyzes the polarization properties of reflected signals to extract additional information about surface features.</w:t>
      </w:r>
    </w:p>
    <w:p>
      <w:pPr>
        <w:numPr>
          <w:ilvl w:val="0"/>
          <w:numId w:val="1000"/>
        </w:numPr>
      </w:pPr>
      <w:r>
        <w:t xml:space="preserve">The relationship between different surfaces and their sensitivity to polarizations in SAR data</w:t>
      </w:r>
    </w:p>
    <w:tbl>
      <w:tblPr>
        <w:tblStyle w:val="Table"/>
        <w:tblW w:type="pct" w:w="5000"/>
        <w:tblLook w:firstRow="1" w:lastRow="0" w:firstColumn="0" w:lastColumn="0" w:noHBand="0" w:noVBand="0" w:val="0020"/>
      </w:tblPr>
      <w:tblGrid>
        <w:gridCol w:w="1650"/>
        <w:gridCol w:w="1815"/>
        <w:gridCol w:w="4455"/>
      </w:tblGrid>
      <w:tr>
        <w:trPr>
          <w:tblHeader w:val="true"/>
        </w:trPr>
        <w:tc>
          <w:tcPr/>
          <w:p>
            <w:pPr>
              <w:numPr>
                <w:ilvl w:val="0"/>
                <w:numId w:val="1000"/>
              </w:numPr>
              <w:pStyle w:val="Compact"/>
              <w:jc w:val="left"/>
            </w:pPr>
            <w:r>
              <w:t xml:space="preserve">Surface Type</w:t>
            </w:r>
          </w:p>
        </w:tc>
        <w:tc>
          <w:tcPr/>
          <w:p>
            <w:pPr>
              <w:numPr>
                <w:ilvl w:val="0"/>
                <w:numId w:val="1000"/>
              </w:numPr>
              <w:pStyle w:val="Compact"/>
              <w:jc w:val="left"/>
            </w:pPr>
            <w:r>
              <w:t xml:space="preserve">Scattering Mechanism</w:t>
            </w:r>
          </w:p>
        </w:tc>
        <w:tc>
          <w:tcPr/>
          <w:p>
            <w:pPr>
              <w:numPr>
                <w:ilvl w:val="0"/>
                <w:numId w:val="1000"/>
              </w:numPr>
              <w:pStyle w:val="Compact"/>
              <w:jc w:val="left"/>
            </w:pPr>
            <w:r>
              <w:t xml:space="preserve">Most Sensitive Polarization</w:t>
            </w:r>
          </w:p>
        </w:tc>
      </w:tr>
      <w:tr>
        <w:tc>
          <w:tcPr/>
          <w:p>
            <w:pPr>
              <w:numPr>
                <w:ilvl w:val="0"/>
                <w:numId w:val="1000"/>
              </w:numPr>
              <w:pStyle w:val="Compact"/>
              <w:jc w:val="left"/>
            </w:pPr>
            <w:r>
              <w:t xml:space="preserve">Rough (bare earth)</w:t>
            </w:r>
          </w:p>
        </w:tc>
        <w:tc>
          <w:tcPr/>
          <w:p>
            <w:pPr>
              <w:numPr>
                <w:ilvl w:val="0"/>
                <w:numId w:val="1000"/>
              </w:numPr>
              <w:pStyle w:val="Compact"/>
              <w:jc w:val="left"/>
            </w:pPr>
            <w:r>
              <w:t xml:space="preserve">Rough Scattering</w:t>
            </w:r>
          </w:p>
        </w:tc>
        <w:tc>
          <w:tcPr/>
          <w:p>
            <w:pPr>
              <w:numPr>
                <w:ilvl w:val="0"/>
                <w:numId w:val="1000"/>
              </w:numPr>
              <w:pStyle w:val="Compact"/>
              <w:jc w:val="left"/>
            </w:pPr>
            <w:r>
              <w:t xml:space="preserve">Vertical-Vertical (VV)</w:t>
            </w:r>
          </w:p>
        </w:tc>
      </w:tr>
      <w:tr>
        <w:tc>
          <w:tcPr/>
          <w:p>
            <w:pPr>
              <w:numPr>
                <w:ilvl w:val="0"/>
                <w:numId w:val="1000"/>
              </w:numPr>
              <w:pStyle w:val="Compact"/>
              <w:jc w:val="left"/>
            </w:pPr>
            <w:r>
              <w:t xml:space="preserve">Leaves</w:t>
            </w:r>
          </w:p>
        </w:tc>
        <w:tc>
          <w:tcPr/>
          <w:p>
            <w:pPr>
              <w:numPr>
                <w:ilvl w:val="0"/>
                <w:numId w:val="1000"/>
              </w:numPr>
              <w:pStyle w:val="Compact"/>
              <w:jc w:val="left"/>
            </w:pPr>
            <w:r>
              <w:t xml:space="preserve">Volume Scattering</w:t>
            </w:r>
          </w:p>
        </w:tc>
        <w:tc>
          <w:tcPr/>
          <w:p>
            <w:pPr>
              <w:numPr>
                <w:ilvl w:val="0"/>
                <w:numId w:val="1000"/>
              </w:numPr>
              <w:pStyle w:val="Compact"/>
              <w:jc w:val="left"/>
            </w:pPr>
            <w:r>
              <w:t xml:space="preserve">Vertical-Horizontal (VH) or Horizontal-Vertical (HV)</w:t>
            </w:r>
          </w:p>
        </w:tc>
      </w:tr>
      <w:tr>
        <w:tc>
          <w:tcPr/>
          <w:p>
            <w:pPr>
              <w:numPr>
                <w:ilvl w:val="0"/>
                <w:numId w:val="1000"/>
              </w:numPr>
              <w:pStyle w:val="Compact"/>
              <w:jc w:val="left"/>
            </w:pPr>
            <w:r>
              <w:t xml:space="preserve">Trees / Buildings</w:t>
            </w:r>
          </w:p>
        </w:tc>
        <w:tc>
          <w:tcPr/>
          <w:p>
            <w:pPr>
              <w:numPr>
                <w:ilvl w:val="0"/>
                <w:numId w:val="1000"/>
              </w:numPr>
              <w:pStyle w:val="Compact"/>
              <w:jc w:val="left"/>
            </w:pPr>
            <w:r>
              <w:t xml:space="preserve">Double Bounce</w:t>
            </w:r>
          </w:p>
        </w:tc>
        <w:tc>
          <w:tcPr/>
          <w:p>
            <w:pPr>
              <w:numPr>
                <w:ilvl w:val="0"/>
                <w:numId w:val="1000"/>
              </w:numPr>
              <w:pStyle w:val="Compact"/>
              <w:jc w:val="left"/>
            </w:pPr>
            <w:r>
              <w:t xml:space="preserve">Horizontal-Horizontal (HH)</w:t>
            </w:r>
          </w:p>
        </w:tc>
      </w:tr>
    </w:tbl>
    <w:p>
      <w:pPr>
        <w:numPr>
          <w:ilvl w:val="0"/>
          <w:numId w:val="1059"/>
        </w:numPr>
      </w:pPr>
      <w:r>
        <w:t xml:space="preserve">Applications:</w:t>
      </w:r>
    </w:p>
    <w:p>
      <w:pPr>
        <w:numPr>
          <w:ilvl w:val="1"/>
          <w:numId w:val="1063"/>
        </w:numPr>
        <w:pStyle w:val="Compact"/>
      </w:pPr>
      <w:r>
        <w:t xml:space="preserve">Environmental monitoring, disaster response, urban planning, military surveillance, and more.</w:t>
      </w:r>
    </w:p>
    <w:bookmarkEnd w:id="133"/>
    <w:bookmarkStart w:id="134" w:name="practical-change-detection-with-sar"/>
    <w:p>
      <w:pPr>
        <w:pStyle w:val="Heading3"/>
      </w:pPr>
      <w:r>
        <w:t xml:space="preserve">10.1.3 Practical change detection with SAR</w:t>
      </w:r>
    </w:p>
    <w:tbl>
      <w:tblPr>
        <w:tblStyle w:val="Table"/>
        <w:tblW w:type="pct" w:w="5000"/>
        <w:tblLook w:firstRow="1" w:lastRow="0" w:firstColumn="0" w:lastColumn="0" w:noHBand="0" w:noVBand="0" w:val="0020"/>
      </w:tblPr>
      <w:tblGrid>
        <w:gridCol w:w="2381"/>
        <w:gridCol w:w="5538"/>
      </w:tblGrid>
      <w:tr>
        <w:trPr>
          <w:tblHeader w:val="true"/>
        </w:trPr>
        <w:tc>
          <w:tcPr/>
          <w:p>
            <w:pPr>
              <w:pStyle w:val="Compact"/>
              <w:jc w:val="left"/>
            </w:pPr>
            <w:r>
              <w:t xml:space="preserve">Topic</w:t>
            </w:r>
          </w:p>
        </w:tc>
        <w:tc>
          <w:tcPr/>
          <w:p>
            <w:pPr>
              <w:pStyle w:val="Compact"/>
              <w:jc w:val="left"/>
            </w:pPr>
            <w:r>
              <w:t xml:space="preserve">Key Points</w:t>
            </w:r>
          </w:p>
        </w:tc>
      </w:tr>
      <w:tr>
        <w:tc>
          <w:tcPr/>
          <w:p>
            <w:pPr>
              <w:pStyle w:val="Compact"/>
              <w:jc w:val="left"/>
            </w:pPr>
            <w:r>
              <w:t xml:space="preserve">Advantages of SAR for Change Detection</w:t>
            </w:r>
          </w:p>
        </w:tc>
        <w:tc>
          <w:tcPr/>
          <w:p>
            <w:pPr>
              <w:pStyle w:val="Compact"/>
              <w:jc w:val="left"/>
            </w:pPr>
            <w:r>
              <w:t xml:space="preserve">Can see through clouds unlike optical sensors; high temporal resolution.</w:t>
            </w:r>
          </w:p>
        </w:tc>
      </w:tr>
      <w:tr>
        <w:tc>
          <w:tcPr/>
          <w:p>
            <w:pPr>
              <w:pStyle w:val="Compact"/>
              <w:jc w:val="left"/>
            </w:pPr>
            <w:r>
              <w:t xml:space="preserve">Change Detection Techniques</w:t>
            </w:r>
          </w:p>
        </w:tc>
        <w:tc>
          <w:tcPr/>
          <w:p>
            <w:pPr>
              <w:pStyle w:val="Compact"/>
              <w:jc w:val="left"/>
            </w:pPr>
            <w:r>
              <w:t xml:space="preserve">Ratio or log ratios between two images; t-tests; standard deviation.</w:t>
            </w:r>
          </w:p>
        </w:tc>
      </w:tr>
      <w:tr>
        <w:tc>
          <w:tcPr/>
          <w:p>
            <w:pPr>
              <w:pStyle w:val="Compact"/>
              <w:jc w:val="left"/>
            </w:pPr>
            <w:r>
              <w:t xml:space="preserve">Fusion of SAR and Optical Data</w:t>
            </w:r>
          </w:p>
        </w:tc>
        <w:tc>
          <w:tcPr/>
          <w:p>
            <w:pPr>
              <w:pStyle w:val="Compact"/>
              <w:jc w:val="left"/>
            </w:pPr>
            <w:r>
              <w:t xml:space="preserve">Principal component analysis; object-based image analysis; intensity fusion.</w:t>
            </w:r>
          </w:p>
        </w:tc>
      </w:tr>
      <w:tr>
        <w:tc>
          <w:tcPr/>
          <w:p>
            <w:pPr>
              <w:pStyle w:val="Compact"/>
              <w:jc w:val="left"/>
            </w:pPr>
            <w:r>
              <w:t xml:space="preserve">Applications of Change Detection with SAR</w:t>
            </w:r>
          </w:p>
        </w:tc>
        <w:tc>
          <w:tcPr/>
          <w:p>
            <w:pPr>
              <w:pStyle w:val="Compact"/>
              <w:jc w:val="left"/>
            </w:pPr>
            <w:r>
              <w:t xml:space="preserve">Monitoring land use changes, detecting deforestation, identifying urban growth patterns, and more.</w:t>
            </w:r>
          </w:p>
        </w:tc>
      </w:tr>
    </w:tbl>
    <w:bookmarkEnd w:id="134"/>
    <w:bookmarkStart w:id="140" w:name="possible-future-developments"/>
    <w:p>
      <w:pPr>
        <w:pStyle w:val="Heading3"/>
      </w:pPr>
      <w:r>
        <w:t xml:space="preserve">10.1.4 Possible future developments</w:t>
      </w:r>
    </w:p>
    <w:p>
      <w:pPr>
        <w:pStyle w:val="FirstParagraph"/>
      </w:pPr>
      <w:r>
        <w:t xml:space="preserve">Resolution, accuracy, real-time-ness and data scale in SAR might see advancements.</w:t>
      </w:r>
    </w:p>
    <w:p>
      <w:pPr>
        <w:numPr>
          <w:ilvl w:val="0"/>
          <w:numId w:val="1064"/>
        </w:numPr>
      </w:pPr>
      <w:r>
        <w:t xml:space="preserve">Improved resolution and accuracy:</w:t>
      </w:r>
    </w:p>
    <w:p>
      <w:pPr>
        <w:numPr>
          <w:ilvl w:val="1"/>
          <w:numId w:val="1065"/>
        </w:numPr>
        <w:pStyle w:val="Compact"/>
      </w:pPr>
      <w:r>
        <w:t xml:space="preserve">Urban planning: Improved resolution and accuracy can influence local zoning regulations and urban growth management by providing detailed information on land use changes and the built environment. For example, high-resolution SAR data can be used to assess the effectiveness of urban containment policies or to identify areas where infrastructure investments are needed.</w:t>
      </w:r>
    </w:p>
    <w:p>
      <w:pPr>
        <w:numPr>
          <w:ilvl w:val="0"/>
          <w:numId w:val="1064"/>
        </w:numPr>
      </w:pPr>
      <w:r>
        <w:t xml:space="preserve">Data processing capabilities</w:t>
      </w:r>
    </w:p>
    <w:p>
      <w:pPr>
        <w:numPr>
          <w:ilvl w:val="1"/>
          <w:numId w:val="1066"/>
        </w:numPr>
        <w:pStyle w:val="Compact"/>
      </w:pPr>
      <w:r>
        <w:t xml:space="preserve">Disaster response: The ability to process larger datasets and monitor Earth’s surface in near real-time can inform global policies regarding disaster management, such as the</w:t>
      </w:r>
      <w:r>
        <w:t xml:space="preserve"> </w:t>
      </w:r>
      <w:hyperlink r:id="rId135">
        <w:r>
          <w:rPr>
            <w:rStyle w:val="Hyperlink"/>
          </w:rPr>
          <w:t xml:space="preserve">Sendai Framework for Disaster Risk Reduction</w:t>
        </w:r>
      </w:hyperlink>
      <w:r>
        <w:t xml:space="preserve">. Boosted rapidness and data capability of SAR can better response to natural disasters, like earthquakes or hurricanes. This allows for quicker design of resources deployment strategy, and more comprehensive information in managing affected areas.</w:t>
      </w:r>
    </w:p>
    <w:p>
      <w:pPr>
        <w:numPr>
          <w:ilvl w:val="0"/>
          <w:numId w:val="1064"/>
        </w:numPr>
      </w:pPr>
      <w:r>
        <w:t xml:space="preserve">New SAR applications</w:t>
      </w:r>
    </w:p>
    <w:p>
      <w:pPr>
        <w:numPr>
          <w:ilvl w:val="1"/>
          <w:numId w:val="1067"/>
        </w:numPr>
        <w:pStyle w:val="Compact"/>
      </w:pPr>
      <w:r>
        <w:t xml:space="preserve">Agricultural: Enhanced SAR facilitates its use in change detection and monitoring. This will support policies like the</w:t>
      </w:r>
      <w:r>
        <w:t xml:space="preserve"> </w:t>
      </w:r>
      <w:hyperlink r:id="rId136">
        <w:r>
          <w:rPr>
            <w:rStyle w:val="Hyperlink"/>
          </w:rPr>
          <w:t xml:space="preserve">European Union’s Common Agricultural Policy (CAP)</w:t>
        </w:r>
      </w:hyperlink>
      <w:r>
        <w:t xml:space="preserve">, by providing data on crop health, irrigation needs, and land use changes.</w:t>
      </w:r>
    </w:p>
    <w:p>
      <w:pPr>
        <w:numPr>
          <w:ilvl w:val="1"/>
          <w:numId w:val="1067"/>
        </w:numPr>
        <w:pStyle w:val="Compact"/>
      </w:pPr>
      <w:r>
        <w:t xml:space="preserve">Forestry (deforestation and reforestation tracking)</w:t>
      </w:r>
    </w:p>
    <w:p>
      <w:pPr>
        <w:numPr>
          <w:ilvl w:val="1"/>
          <w:numId w:val="1067"/>
        </w:numPr>
        <w:pStyle w:val="Compact"/>
      </w:pPr>
      <w:r>
        <w:t xml:space="preserve">Disaster response (flood and landslide monitoring)</w:t>
      </w:r>
    </w:p>
    <w:p>
      <w:pPr>
        <w:numPr>
          <w:ilvl w:val="1"/>
          <w:numId w:val="1067"/>
        </w:numPr>
        <w:pStyle w:val="Compact"/>
      </w:pPr>
      <w:r>
        <w:t xml:space="preserve">Environmental management: SAR data can inform policies related to wetland and coastal zone management, such as the</w:t>
      </w:r>
      <w:r>
        <w:t xml:space="preserve"> </w:t>
      </w:r>
      <w:hyperlink r:id="rId137">
        <w:r>
          <w:rPr>
            <w:rStyle w:val="Hyperlink"/>
          </w:rPr>
          <w:t xml:space="preserve">Ramsar Convention on Wetlands</w:t>
        </w:r>
      </w:hyperlink>
      <w:r>
        <w:t xml:space="preserve"> </w:t>
      </w:r>
      <w:r>
        <w:t xml:space="preserve">and the</w:t>
      </w:r>
      <w:r>
        <w:t xml:space="preserve"> </w:t>
      </w:r>
      <w:hyperlink r:id="rId138">
        <w:r>
          <w:rPr>
            <w:rStyle w:val="Hyperlink"/>
          </w:rPr>
          <w:t xml:space="preserve">United Nations Convention on the Law of the Sea (UNCLOS)</w:t>
        </w:r>
      </w:hyperlink>
      <w:r>
        <w:t xml:space="preserve">. By monitoring changes in these sensitive areas, policymakers can evaluate the effectiveness of existing regulations and develop new strategies to protect vital ecosystems.</w:t>
      </w:r>
    </w:p>
    <w:p>
      <w:pPr>
        <w:numPr>
          <w:ilvl w:val="0"/>
          <w:numId w:val="1064"/>
        </w:numPr>
      </w:pPr>
      <w:r>
        <w:t xml:space="preserve">More matured machine learning and artificial intelligence:</w:t>
      </w:r>
    </w:p>
    <w:p>
      <w:pPr>
        <w:numPr>
          <w:ilvl w:val="1"/>
          <w:numId w:val="1068"/>
        </w:numPr>
        <w:pStyle w:val="Compact"/>
      </w:pPr>
      <w:r>
        <w:t xml:space="preserve">Advanced algorithms that are yet to be developed or need further maturity for SAR data analysis could include:</w:t>
      </w:r>
    </w:p>
    <w:tbl>
      <w:tblPr>
        <w:tblStyle w:val="Table"/>
        <w:tblW w:type="pct" w:w="5000"/>
        <w:tblLook w:firstRow="1" w:lastRow="0" w:firstColumn="0" w:lastColumn="0" w:noHBand="0" w:noVBand="0" w:val="0020"/>
      </w:tblPr>
      <w:tblGrid>
        <w:gridCol w:w="1115"/>
        <w:gridCol w:w="3806"/>
        <w:gridCol w:w="2997"/>
      </w:tblGrid>
      <w:tr>
        <w:trPr>
          <w:tblHeader w:val="true"/>
        </w:trPr>
        <w:tc>
          <w:tcPr/>
          <w:p>
            <w:pPr>
              <w:numPr>
                <w:ilvl w:val="0"/>
                <w:numId w:val="1000"/>
              </w:numPr>
              <w:pStyle w:val="Compact"/>
              <w:jc w:val="left"/>
            </w:pPr>
            <w:r>
              <w:t xml:space="preserve">Algorithm</w:t>
            </w:r>
          </w:p>
        </w:tc>
        <w:tc>
          <w:tcPr/>
          <w:p>
            <w:pPr>
              <w:numPr>
                <w:ilvl w:val="0"/>
                <w:numId w:val="1000"/>
              </w:numPr>
              <w:pStyle w:val="Compact"/>
              <w:jc w:val="left"/>
            </w:pPr>
            <w:r>
              <w:t xml:space="preserve">Pros</w:t>
            </w:r>
          </w:p>
        </w:tc>
        <w:tc>
          <w:tcPr/>
          <w:p>
            <w:pPr>
              <w:numPr>
                <w:ilvl w:val="0"/>
                <w:numId w:val="1000"/>
              </w:numPr>
              <w:pStyle w:val="Compact"/>
              <w:jc w:val="left"/>
            </w:pPr>
            <w:r>
              <w:t xml:space="preserve">Cons</w:t>
            </w:r>
          </w:p>
        </w:tc>
      </w:tr>
      <w:tr>
        <w:tc>
          <w:tcPr/>
          <w:p>
            <w:pPr>
              <w:numPr>
                <w:ilvl w:val="0"/>
                <w:numId w:val="1000"/>
              </w:numPr>
              <w:pStyle w:val="Compact"/>
              <w:jc w:val="left"/>
            </w:pPr>
            <w:r>
              <w:t xml:space="preserve">Improved Unsupervised Change Detection Algorithms</w:t>
            </w:r>
          </w:p>
        </w:tc>
        <w:tc>
          <w:tcPr/>
          <w:p>
            <w:pPr>
              <w:numPr>
                <w:ilvl w:val="0"/>
                <w:numId w:val="1000"/>
              </w:numPr>
              <w:pStyle w:val="Compact"/>
              <w:jc w:val="left"/>
            </w:pPr>
            <w:r>
              <w:t xml:space="preserve">- No need for labeled training data. - Can discover unknown or unexpected changes.</w:t>
            </w:r>
          </w:p>
        </w:tc>
        <w:tc>
          <w:tcPr/>
          <w:p>
            <w:pPr>
              <w:numPr>
                <w:ilvl w:val="0"/>
                <w:numId w:val="1000"/>
              </w:numPr>
              <w:pStyle w:val="Compact"/>
              <w:jc w:val="left"/>
            </w:pPr>
            <w:r>
              <w:t xml:space="preserve">- May struggle with complex or subtle changes. - Can be sensitive to noise and variations in the data.</w:t>
            </w:r>
          </w:p>
        </w:tc>
      </w:tr>
      <w:tr>
        <w:tc>
          <w:tcPr/>
          <w:p>
            <w:pPr>
              <w:numPr>
                <w:ilvl w:val="0"/>
                <w:numId w:val="1000"/>
              </w:numPr>
              <w:pStyle w:val="Compact"/>
              <w:jc w:val="left"/>
            </w:pPr>
            <w:r>
              <w:t xml:space="preserve">Multi-Modal Fusion Algorithms</w:t>
            </w:r>
          </w:p>
        </w:tc>
        <w:tc>
          <w:tcPr/>
          <w:p>
            <w:pPr>
              <w:numPr>
                <w:ilvl w:val="0"/>
                <w:numId w:val="1000"/>
              </w:numPr>
              <w:pStyle w:val="Compact"/>
              <w:jc w:val="left"/>
            </w:pPr>
            <w:r>
              <w:t xml:space="preserve">- Combines SAR data with other sources (e.g., optical, hyperspectral) for better feature identification. - Can exploit the complementary strengths of different data types.</w:t>
            </w:r>
          </w:p>
        </w:tc>
        <w:tc>
          <w:tcPr/>
          <w:p>
            <w:pPr>
              <w:numPr>
                <w:ilvl w:val="0"/>
                <w:numId w:val="1000"/>
              </w:numPr>
              <w:pStyle w:val="Compact"/>
              <w:jc w:val="left"/>
            </w:pPr>
            <w:r>
              <w:t xml:space="preserve">- Requires data synchronization and registration, which can be challenging. - May involve increased complexity and computational cost.</w:t>
            </w:r>
          </w:p>
        </w:tc>
      </w:tr>
      <w:tr>
        <w:tc>
          <w:tcPr/>
          <w:p>
            <w:pPr>
              <w:numPr>
                <w:ilvl w:val="0"/>
                <w:numId w:val="1000"/>
              </w:numPr>
              <w:pStyle w:val="Compact"/>
              <w:jc w:val="left"/>
            </w:pPr>
            <w:r>
              <w:t xml:space="preserve">Graph-based Change Detection Algorithms</w:t>
            </w:r>
          </w:p>
        </w:tc>
        <w:tc>
          <w:tcPr/>
          <w:p>
            <w:pPr>
              <w:numPr>
                <w:ilvl w:val="0"/>
                <w:numId w:val="1000"/>
              </w:numPr>
              <w:pStyle w:val="Compact"/>
              <w:jc w:val="left"/>
            </w:pPr>
            <w:r>
              <w:t xml:space="preserve">- Can model complex spatial relationships between features. - Robust against noise and speckle effects in SAR data.</w:t>
            </w:r>
          </w:p>
        </w:tc>
        <w:tc>
          <w:tcPr/>
          <w:p>
            <w:pPr>
              <w:numPr>
                <w:ilvl w:val="0"/>
                <w:numId w:val="1000"/>
              </w:numPr>
              <w:pStyle w:val="Compact"/>
              <w:jc w:val="left"/>
            </w:pPr>
            <w:r>
              <w:t xml:space="preserve">- Computationally expensive, especially for large-scale datasets. - May require tuning of hyperparameters.</w:t>
            </w:r>
          </w:p>
        </w:tc>
      </w:tr>
    </w:tbl>
    <w:p>
      <w:pPr>
        <w:numPr>
          <w:ilvl w:val="1"/>
          <w:numId w:val="1069"/>
        </w:numPr>
        <w:pStyle w:val="Compact"/>
      </w:pPr>
      <w:r>
        <w:t xml:space="preserve">Improved overall accuracy of change detection can support climate change adaptation efforts at both local and global levels, including the</w:t>
      </w:r>
      <w:r>
        <w:t xml:space="preserve"> </w:t>
      </w:r>
      <w:hyperlink r:id="rId139">
        <w:r>
          <w:rPr>
            <w:rStyle w:val="Hyperlink"/>
          </w:rPr>
          <w:t xml:space="preserve">United Nations Framework Convention on Climate Change (UNFCCC)</w:t>
        </w:r>
      </w:hyperlink>
      <w:r>
        <w:t xml:space="preserve"> </w:t>
      </w:r>
      <w:r>
        <w:t xml:space="preserve">and the</w:t>
      </w:r>
      <w:r>
        <w:t xml:space="preserve"> </w:t>
      </w:r>
      <w:hyperlink r:id="rId139">
        <w:r>
          <w:rPr>
            <w:rStyle w:val="Hyperlink"/>
          </w:rPr>
          <w:t xml:space="preserve">Paris Agreement</w:t>
        </w:r>
      </w:hyperlink>
      <w:r>
        <w:t xml:space="preserve">. Predictive models based on SAR data can help policymakers identify areas at risk of flooding, coastal erosion, or other climate-related impacts, enabling the targeted adaptation strategies.</w:t>
      </w:r>
    </w:p>
    <w:p>
      <w:pPr>
        <w:pStyle w:val="FirstParagraph"/>
      </w:pPr>
      <w:r>
        <w:t xml:space="preserve">Advancements in SAR technology, combined with the integration of machine learning and AI, will enhance change detection capabilities, enabling new analysis avenues in sectors including agriculture, forestry, disaster management, and environmental protection, ultimately influencing policymaking and promoting more informed decision-making processes.</w:t>
      </w:r>
    </w:p>
    <w:bookmarkEnd w:id="140"/>
    <w:bookmarkEnd w:id="141"/>
    <w:bookmarkStart w:id="147" w:name="application-5"/>
    <w:p>
      <w:pPr>
        <w:pStyle w:val="Heading2"/>
      </w:pPr>
      <w:r>
        <w:t xml:space="preserve">10.2 Application</w:t>
      </w:r>
    </w:p>
    <w:p>
      <w:pPr>
        <w:pStyle w:val="FirstParagraph"/>
      </w:pPr>
      <w:r>
        <w:t xml:space="preserve">This week I chose to explore the application of SAR in wetland classification and real-time monitoring, as well as its future advancement, in the context of a literature recommended by the module webpage</w:t>
      </w:r>
      <w:r>
        <w:t xml:space="preserve"> </w:t>
      </w:r>
      <w:r>
        <w:t xml:space="preserve">(Dabboor and Brisco 2019)</w:t>
      </w:r>
      <w:r>
        <w:t xml:space="preserve">.</w:t>
      </w:r>
    </w:p>
    <w:p>
      <w:pPr>
        <w:pStyle w:val="BodyText"/>
      </w:pPr>
      <w:r>
        <w:t xml:space="preserve">Wetland acts as a kidney to Earth reminding one of the old positivist tradition in French philosophy, taking abstract structures as organisms. The chance to explore this wholist view with an analytic approach is thrilling, as these two paradigms that seem to be falling in a prevailing antithesis can actually sparkle inspiration and exhibit harmony of inclusion of each other.</w:t>
      </w:r>
    </w:p>
    <w:bookmarkStart w:id="145" w:name="wetland-classification"/>
    <w:p>
      <w:pPr>
        <w:pStyle w:val="Heading3"/>
      </w:pPr>
      <w:r>
        <w:t xml:space="preserve">10.2.1 Wetland classification</w:t>
      </w:r>
    </w:p>
    <w:p>
      <w:pPr>
        <w:pStyle w:val="FirstParagraph"/>
      </w:pPr>
      <w:r>
        <w:t xml:space="preserve">Wetland classification has been a daunting task utilising traditional air photo and filed visits. Ever since the launch of ERTS in 1972, this task has been expecting the evolution of methods through applying Earth Observation data.</w:t>
      </w:r>
    </w:p>
    <w:p>
      <w:pPr>
        <w:pStyle w:val="BodyText"/>
      </w:pPr>
      <w:r>
        <w:t xml:space="preserve">The SOTA of this tasks, as implied in the literature, has been an Object-based classification:</w:t>
      </w:r>
    </w:p>
    <w:p>
      <w:pPr>
        <w:numPr>
          <w:ilvl w:val="0"/>
          <w:numId w:val="1070"/>
        </w:numPr>
        <w:pStyle w:val="Compact"/>
      </w:pPr>
      <w:r>
        <w:t xml:space="preserve">Combining multi-source data: optical and SAR</w:t>
      </w:r>
    </w:p>
    <w:p>
      <w:pPr>
        <w:numPr>
          <w:ilvl w:val="0"/>
          <w:numId w:val="1070"/>
        </w:numPr>
        <w:pStyle w:val="Compact"/>
      </w:pPr>
      <w:r>
        <w:t xml:space="preserve">Analysing using a machine-learning classification model</w:t>
      </w:r>
    </w:p>
    <w:p>
      <w:pPr>
        <w:numPr>
          <w:ilvl w:val="0"/>
          <w:numId w:val="1070"/>
        </w:numPr>
        <w:pStyle w:val="Compact"/>
      </w:pPr>
      <w:r>
        <w:t xml:space="preserve">Incorporating a Digital Elevation Model (DEM)</w:t>
      </w:r>
    </w:p>
    <w:p>
      <w:pPr>
        <w:numPr>
          <w:ilvl w:val="0"/>
          <w:numId w:val="1070"/>
        </w:numPr>
        <w:pStyle w:val="Compact"/>
      </w:pPr>
      <w:r>
        <w:t xml:space="preserve">Aims at identifying terrain suitability for wetlands and surface water</w:t>
      </w:r>
    </w:p>
    <w:p>
      <w:pPr>
        <w:pStyle w:val="FirstParagraph"/>
      </w:pPr>
      <w:r>
        <w:t xml:space="preserve">See @ for a workflow</w:t>
      </w:r>
    </w:p>
    <w:p>
      <w:pPr>
        <w:pStyle w:val="BodyText"/>
      </w:pPr>
      <w:r>
        <w:t xml:space="preserve">This method achieves over 90% of accuracy and is useful in that its core method utilises SAR data’s feature of</w:t>
      </w:r>
      <w:r>
        <w:t xml:space="preserve"> </w:t>
      </w:r>
      <w:r>
        <w:t xml:space="preserve">“</w:t>
      </w:r>
      <w:r>
        <w:t xml:space="preserve">seeing under the water</w:t>
      </w:r>
      <w:r>
        <w:t xml:space="preserve">”</w:t>
      </w:r>
      <w:r>
        <w:t xml:space="preserve"> </w:t>
      </w:r>
      <w:r>
        <w:t xml:space="preserve">to better identify flooded vegetation class.</w:t>
      </w:r>
    </w:p>
    <w:p>
      <w:pPr>
        <w:pStyle w:val="BodyText"/>
      </w:pPr>
      <w:r>
        <w:t xml:space="preserve">How did this amazing feature come about? Is that an emerging effect due to unprecedented combination of data? Or is it determined by the characteristics innate to SAR data?</w:t>
      </w:r>
    </w:p>
    <w:p>
      <w:pPr>
        <w:pStyle w:val="BodyText"/>
      </w:pPr>
      <w:r>
        <w:t xml:space="preserve">The answer is the latter: The flooded vegetation tends to produce a double bounce scattering mechanism, which increases the intensity of the backscatter, making HH polarization to be the best for this due to the enhanced penetration in vegetation</w:t>
      </w:r>
      <w:r>
        <w:t xml:space="preserve"> </w:t>
      </w:r>
      <w:r>
        <w:t xml:space="preserve">(</w:t>
      </w:r>
      <w:r>
        <w:rPr>
          <w:bCs/>
          <w:b/>
        </w:rPr>
        <w:t xml:space="preserve">Jahncke2018MappingWI?</w:t>
      </w:r>
      <w:r>
        <w:t xml:space="preserve">)</w:t>
      </w:r>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954059"/>
                  <wp:effectExtent b="0" l="0" r="0" t="0"/>
                  <wp:docPr descr="" title="" id="143" name="Picture"/>
                  <a:graphic>
                    <a:graphicData uri="http://schemas.openxmlformats.org/drawingml/2006/picture">
                      <pic:pic>
                        <pic:nvPicPr>
                          <pic:cNvPr descr="./images/WetLand_classification.png" id="144" name="Picture"/>
                          <pic:cNvPicPr>
                            <a:picLocks noChangeArrowheads="1" noChangeAspect="1"/>
                          </pic:cNvPicPr>
                        </pic:nvPicPr>
                        <pic:blipFill>
                          <a:blip r:embed="rId142"/>
                          <a:stretch>
                            <a:fillRect/>
                          </a:stretch>
                        </pic:blipFill>
                        <pic:spPr bwMode="auto">
                          <a:xfrm>
                            <a:off x="0" y="0"/>
                            <a:ext cx="5334000" cy="3954059"/>
                          </a:xfrm>
                          <a:prstGeom prst="rect">
                            <a:avLst/>
                          </a:prstGeom>
                          <a:noFill/>
                          <a:ln w="9525">
                            <a:noFill/>
                            <a:headEnd/>
                            <a:tailEnd/>
                          </a:ln>
                        </pic:spPr>
                      </pic:pic>
                    </a:graphicData>
                  </a:graphic>
                </wp:inline>
              </w:drawing>
            </w:r>
          </w:p>
          <w:p>
            <w:pPr>
              <w:jc w:val="center"/>
            </w:pPr>
            <w:pPr>
              <w:jc w:val="start"/>
              <w:spacing w:before="200"/>
              <w:pStyle w:val="ImageCaption"/>
            </w:pPr>
            <w:r>
              <w:t xml:space="preserve">Credit:</w:t>
            </w:r>
            <w:r>
              <w:t xml:space="preserve"> </w:t>
            </w:r>
            <w:r>
              <w:t xml:space="preserve">Dabboor and Brisco (2019)</w:t>
            </w:r>
          </w:p>
        </w:tc>
      </w:tr>
    </w:tbl>
    <w:p>
      <w:pPr>
        <w:pStyle w:val="BodyText"/>
      </w:pPr>
      <w:r>
        <w:t xml:space="preserve">This workflow utilising different scattering effect between water and vegetation is one of the main contributors to the SOTA performance, laying the ground for further development and iteration on this method: various angle-choosing strategies, machine-learning algorithm combinations, etc.</w:t>
      </w:r>
    </w:p>
    <w:bookmarkEnd w:id="145"/>
    <w:bookmarkStart w:id="146" w:name="future-advancement"/>
    <w:p>
      <w:pPr>
        <w:pStyle w:val="Heading3"/>
      </w:pPr>
      <w:r>
        <w:t xml:space="preserve">10.2.2 Future Advancement</w:t>
      </w:r>
    </w:p>
    <w:p>
      <w:pPr>
        <w:numPr>
          <w:ilvl w:val="0"/>
          <w:numId w:val="1071"/>
        </w:numPr>
        <w:pStyle w:val="Compact"/>
      </w:pPr>
      <w:r>
        <w:t xml:space="preserve">Resolution in time and space can see chance of enhancement. Spaceborne SAR remote sensing technology being the essential tool for effective wetland observation, its improvement can be expected to reflect on enhancement of wetland observation in temporal and spatial resolution, e.g., the RCM is expected to provide SAR imagery in a spatial resolution ranging from 1 m to 100 m, in a revisit time of only 4 days</w:t>
      </w:r>
      <w:r>
        <w:t xml:space="preserve"> </w:t>
      </w:r>
      <w:r>
        <w:t xml:space="preserve">(Dabboor and Brisco 2019)</w:t>
      </w:r>
      <w:r>
        <w:t xml:space="preserve">.</w:t>
      </w:r>
    </w:p>
    <w:p>
      <w:pPr>
        <w:pStyle w:val="FirstParagraph"/>
      </w:pPr>
      <w:r>
        <w:t xml:space="preserve">This can better our understanding of climate change in wetlands and water quality, allowing ecosystem managers and decision makers to have sufficient information regarding wetland preservation</w:t>
      </w:r>
    </w:p>
    <w:p>
      <w:pPr>
        <w:numPr>
          <w:ilvl w:val="0"/>
          <w:numId w:val="1072"/>
        </w:numPr>
        <w:pStyle w:val="Compact"/>
      </w:pPr>
      <w:r>
        <w:t xml:space="preserve">More sensors with more data forms, as well as improved data quality can be anticipated in the future. The integration of SAR imagery with optical and topographic data from multiple sensors was shown in</w:t>
      </w:r>
      <w:r>
        <w:t xml:space="preserve"> </w:t>
      </w:r>
      <w:r>
        <w:t xml:space="preserve">Dubeau et al. (2017)</w:t>
      </w:r>
      <w:r>
        <w:t xml:space="preserve"> </w:t>
      </w:r>
      <w:r>
        <w:t xml:space="preserve">to be necessary for improved wetland mapping and classification during the growing season.</w:t>
      </w:r>
    </w:p>
    <w:p>
      <w:pPr>
        <w:pStyle w:val="FirstParagraph"/>
      </w:pPr>
      <w:r>
        <w:t xml:space="preserve">However, the integration of SAR imagery and LiDAR data did not improve significantly the classification accuracy of wetland in</w:t>
      </w:r>
      <w:r>
        <w:t xml:space="preserve"> </w:t>
      </w:r>
      <w:r>
        <w:t xml:space="preserve">Millard and Richardson (2013)</w:t>
      </w:r>
      <w:r>
        <w:t xml:space="preserve">.</w:t>
      </w:r>
    </w:p>
    <w:p>
      <w:pPr>
        <w:numPr>
          <w:ilvl w:val="0"/>
          <w:numId w:val="1073"/>
        </w:numPr>
        <w:pStyle w:val="Compact"/>
      </w:pPr>
      <w:r>
        <w:t xml:space="preserve">The effectiveness of machine learning algorithms for automated wetland classification can expect further development. E.g., Graph-based Change Detection Algorithms can model complex spatial relationships between features and is robust against noise and speckle effects in SAR data.</w:t>
      </w:r>
    </w:p>
    <w:p>
      <w:pPr>
        <w:pStyle w:val="FirstParagraph"/>
      </w:pPr>
      <w:r>
        <w:t xml:space="preserve">This shift toward the automated machine learning algorithms comes to fulfill the requirement for operational wetland monitoring systems.</w:t>
      </w:r>
    </w:p>
    <w:bookmarkEnd w:id="146"/>
    <w:bookmarkEnd w:id="147"/>
    <w:bookmarkEnd w:id="148"/>
    <w:bookmarkStart w:id="149" w:name="summary-8"/>
    <w:p>
      <w:pPr>
        <w:pStyle w:val="Heading1"/>
      </w:pPr>
      <w:r>
        <w:t xml:space="preserve">11.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p>
    <w:p>
      <w:pPr>
        <w:pStyle w:val="SourceCode"/>
      </w:pPr>
      <w:r>
        <w:rPr>
          <w:rStyle w:val="VerbatimChar"/>
        </w:rPr>
        <w:t xml:space="preserve">2</w:t>
      </w:r>
    </w:p>
    <w:bookmarkEnd w:id="149"/>
    <w:bookmarkStart w:id="174" w:name="references"/>
    <w:p>
      <w:pPr>
        <w:pStyle w:val="Heading1"/>
      </w:pPr>
      <w:r>
        <w:t xml:space="preserve">References</w:t>
      </w:r>
    </w:p>
    <w:bookmarkStart w:id="173" w:name="refs"/>
    <w:bookmarkStart w:id="151" w:name="ref-gokce_wetland_2019"/>
    <w:p>
      <w:pPr>
        <w:pStyle w:val="Bibliography"/>
      </w:pPr>
      <w:r>
        <w:t xml:space="preserve">Dabboor, Mohammed, and Brian Brisco. 2019.</w:t>
      </w:r>
      <w:r>
        <w:t xml:space="preserve"> </w:t>
      </w:r>
      <w:r>
        <w:t xml:space="preserve">“Wetland</w:t>
      </w:r>
      <w:r>
        <w:t xml:space="preserve"> </w:t>
      </w:r>
      <w:r>
        <w:t xml:space="preserve">Monitoring</w:t>
      </w:r>
      <w:r>
        <w:t xml:space="preserve"> </w:t>
      </w:r>
      <w:r>
        <w:t xml:space="preserve">and</w:t>
      </w:r>
      <w:r>
        <w:t xml:space="preserve"> </w:t>
      </w:r>
      <w:r>
        <w:t xml:space="preserve">Mapping</w:t>
      </w:r>
      <w:r>
        <w:t xml:space="preserve"> </w:t>
      </w:r>
      <w:r>
        <w:t xml:space="preserve">Using</w:t>
      </w:r>
      <w:r>
        <w:t xml:space="preserve"> </w:t>
      </w:r>
      <w:r>
        <w:t xml:space="preserve">Synthetic</w:t>
      </w:r>
      <w:r>
        <w:t xml:space="preserve"> </w:t>
      </w:r>
      <w:r>
        <w:t xml:space="preserve">Aperture</w:t>
      </w:r>
      <w:r>
        <w:t xml:space="preserve"> </w:t>
      </w:r>
      <w:r>
        <w:t xml:space="preserve">Radar</w:t>
      </w:r>
      <w:r>
        <w:t xml:space="preserve">.”</w:t>
      </w:r>
      <w:r>
        <w:t xml:space="preserve"> </w:t>
      </w:r>
      <w:r>
        <w:t xml:space="preserve">In</w:t>
      </w:r>
      <w:r>
        <w:t xml:space="preserve"> </w:t>
      </w:r>
      <w:r>
        <w:rPr>
          <w:iCs/>
          <w:i/>
        </w:rPr>
        <w:t xml:space="preserve">Wetlands</w:t>
      </w:r>
      <w:r>
        <w:rPr>
          <w:iCs/>
          <w:i/>
        </w:rPr>
        <w:t xml:space="preserve"> </w:t>
      </w:r>
      <w:r>
        <w:rPr>
          <w:iCs/>
          <w:i/>
        </w:rPr>
        <w:t xml:space="preserve">Management</w:t>
      </w:r>
      <w:r>
        <w:rPr>
          <w:iCs/>
          <w:i/>
        </w:rPr>
        <w:t xml:space="preserve"> </w:t>
      </w:r>
      <w:r>
        <w:rPr>
          <w:iCs/>
          <w:i/>
        </w:rPr>
        <w:t xml:space="preserve">-</w:t>
      </w:r>
      <w:r>
        <w:rPr>
          <w:iCs/>
          <w:i/>
        </w:rPr>
        <w:t xml:space="preserve"> </w:t>
      </w:r>
      <w:r>
        <w:rPr>
          <w:iCs/>
          <w:i/>
        </w:rPr>
        <w:t xml:space="preserve">Assessing</w:t>
      </w:r>
      <w:r>
        <w:rPr>
          <w:iCs/>
          <w:i/>
        </w:rPr>
        <w:t xml:space="preserve"> </w:t>
      </w:r>
      <w:r>
        <w:rPr>
          <w:iCs/>
          <w:i/>
        </w:rPr>
        <w:t xml:space="preserve">Risk</w:t>
      </w:r>
      <w:r>
        <w:rPr>
          <w:iCs/>
          <w:i/>
        </w:rPr>
        <w:t xml:space="preserve"> </w:t>
      </w:r>
      <w:r>
        <w:rPr>
          <w:iCs/>
          <w:i/>
        </w:rPr>
        <w:t xml:space="preserve">and</w:t>
      </w:r>
      <w:r>
        <w:rPr>
          <w:iCs/>
          <w:i/>
        </w:rPr>
        <w:t xml:space="preserve"> </w:t>
      </w:r>
      <w:r>
        <w:rPr>
          <w:iCs/>
          <w:i/>
        </w:rPr>
        <w:t xml:space="preserve">Sustainable</w:t>
      </w:r>
      <w:r>
        <w:rPr>
          <w:iCs/>
          <w:i/>
        </w:rPr>
        <w:t xml:space="preserve"> </w:t>
      </w:r>
      <w:r>
        <w:rPr>
          <w:iCs/>
          <w:i/>
        </w:rPr>
        <w:t xml:space="preserve">Solutions</w:t>
      </w:r>
      <w:r>
        <w:t xml:space="preserve">, edited by Didem Gökçe. IntechOpen.</w:t>
      </w:r>
      <w:r>
        <w:t xml:space="preserve"> </w:t>
      </w:r>
      <w:hyperlink r:id="rId150">
        <w:r>
          <w:rPr>
            <w:rStyle w:val="Hyperlink"/>
          </w:rPr>
          <w:t xml:space="preserve">https://doi.org/10.5772/intechopen.80224</w:t>
        </w:r>
      </w:hyperlink>
      <w:r>
        <w:t xml:space="preserve">.</w:t>
      </w:r>
    </w:p>
    <w:bookmarkEnd w:id="151"/>
    <w:bookmarkStart w:id="153" w:name="ref-dubeau_mapping_2017"/>
    <w:p>
      <w:pPr>
        <w:pStyle w:val="Bibliography"/>
      </w:pPr>
      <w:r>
        <w:t xml:space="preserve">Dubeau, Pierre, Douglas J. King, Dikaso Gojamme Unbushe, and Lisa-Maria Rebelo. 2017.</w:t>
      </w:r>
      <w:r>
        <w:t xml:space="preserve"> </w:t>
      </w:r>
      <w:r>
        <w:t xml:space="preserve">“Mapping the</w:t>
      </w:r>
      <w:r>
        <w:t xml:space="preserve"> </w:t>
      </w:r>
      <w:r>
        <w:t xml:space="preserve">Dabus</w:t>
      </w:r>
      <w:r>
        <w:t xml:space="preserve"> </w:t>
      </w:r>
      <w:r>
        <w:t xml:space="preserve">Wetlands</w:t>
      </w:r>
      <w:r>
        <w:t xml:space="preserve">,</w:t>
      </w:r>
      <w:r>
        <w:t xml:space="preserve"> </w:t>
      </w:r>
      <w:r>
        <w:t xml:space="preserve">Ethiopia</w:t>
      </w:r>
      <w:r>
        <w:t xml:space="preserve">,</w:t>
      </w:r>
      <w:r>
        <w:t xml:space="preserve"> </w:t>
      </w:r>
      <w:r>
        <w:t xml:space="preserve">Using</w:t>
      </w:r>
      <w:r>
        <w:t xml:space="preserve"> </w:t>
      </w:r>
      <w:r>
        <w:t xml:space="preserve">Random</w:t>
      </w:r>
      <w:r>
        <w:t xml:space="preserve"> </w:t>
      </w:r>
      <w:r>
        <w:t xml:space="preserve">Forest</w:t>
      </w:r>
      <w:r>
        <w:t xml:space="preserve"> </w:t>
      </w:r>
      <w:r>
        <w:t xml:space="preserve">Classification</w:t>
      </w:r>
      <w:r>
        <w:t xml:space="preserve"> </w:t>
      </w:r>
      <w:r>
        <w:t xml:space="preserve">of</w:t>
      </w:r>
      <w:r>
        <w:t xml:space="preserve"> </w:t>
      </w:r>
      <w:r>
        <w:t xml:space="preserve">Landsat</w:t>
      </w:r>
      <w:r>
        <w:t xml:space="preserve">,</w:t>
      </w:r>
      <w:r>
        <w:t xml:space="preserve"> </w:t>
      </w:r>
      <w:r>
        <w:t xml:space="preserve">PALSAR</w:t>
      </w:r>
      <w:r>
        <w:t xml:space="preserve"> </w:t>
      </w:r>
      <w:r>
        <w:t xml:space="preserve">and</w:t>
      </w:r>
      <w:r>
        <w:t xml:space="preserve"> </w:t>
      </w:r>
      <w:r>
        <w:t xml:space="preserve">Topographic</w:t>
      </w:r>
      <w:r>
        <w:t xml:space="preserve"> </w:t>
      </w:r>
      <w:r>
        <w:t xml:space="preserve">Data</w:t>
      </w:r>
      <w:r>
        <w:t xml:space="preserve">.”</w:t>
      </w:r>
      <w:r>
        <w:t xml:space="preserve"> </w:t>
      </w:r>
      <w:r>
        <w:rPr>
          <w:iCs/>
          <w:i/>
        </w:rPr>
        <w:t xml:space="preserve">Remote Sensing</w:t>
      </w:r>
      <w:r>
        <w:t xml:space="preserve"> </w:t>
      </w:r>
      <w:r>
        <w:t xml:space="preserve">9 (10).</w:t>
      </w:r>
      <w:r>
        <w:t xml:space="preserve"> </w:t>
      </w:r>
      <w:hyperlink r:id="rId152">
        <w:r>
          <w:rPr>
            <w:rStyle w:val="Hyperlink"/>
          </w:rPr>
          <w:t xml:space="preserve">https://doi.org/10.3390/rs9101056</w:t>
        </w:r>
      </w:hyperlink>
      <w:r>
        <w:t xml:space="preserve">.</w:t>
      </w:r>
    </w:p>
    <w:bookmarkEnd w:id="153"/>
    <w:bookmarkStart w:id="155" w:name="ref-google_machine_2023"/>
    <w:p>
      <w:pPr>
        <w:pStyle w:val="Bibliography"/>
      </w:pPr>
      <w:r>
        <w:t xml:space="preserve">Google. 2023a.</w:t>
      </w:r>
      <w:r>
        <w:t xml:space="preserve"> </w:t>
      </w:r>
      <w:r>
        <w:t xml:space="preserve">“Machine</w:t>
      </w:r>
      <w:r>
        <w:t xml:space="preserve"> </w:t>
      </w:r>
      <w:r>
        <w:t xml:space="preserve">Learning</w:t>
      </w:r>
      <w:r>
        <w:t xml:space="preserve"> </w:t>
      </w:r>
      <w:r>
        <w:t xml:space="preserve">in</w:t>
      </w:r>
      <w:r>
        <w:t xml:space="preserve"> </w:t>
      </w:r>
      <w:r>
        <w:t xml:space="preserve">Earth</w:t>
      </w:r>
      <w:r>
        <w:t xml:space="preserve"> </w:t>
      </w:r>
      <w:r>
        <w:t xml:space="preserve">Engine</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54">
        <w:r>
          <w:rPr>
            <w:rStyle w:val="Hyperlink"/>
          </w:rPr>
          <w:t xml:space="preserve">https://developers.google.com/earth-engine/guides/machine-learning</w:t>
        </w:r>
      </w:hyperlink>
      <w:r>
        <w:t xml:space="preserve">.</w:t>
      </w:r>
    </w:p>
    <w:bookmarkEnd w:id="155"/>
    <w:bookmarkStart w:id="157" w:name="ref-google_reducer_2023"/>
    <w:p>
      <w:pPr>
        <w:pStyle w:val="Bibliography"/>
      </w:pPr>
      <w:r>
        <w:t xml:space="preserve">———. 2023b.</w:t>
      </w:r>
      <w:r>
        <w:t xml:space="preserve"> </w:t>
      </w:r>
      <w:r>
        <w:t xml:space="preserve">“Reducer</w:t>
      </w:r>
      <w:r>
        <w:t xml:space="preserve"> </w:t>
      </w:r>
      <w:r>
        <w:t xml:space="preserve">Overview</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56">
        <w:r>
          <w:rPr>
            <w:rStyle w:val="Hyperlink"/>
          </w:rPr>
          <w:t xml:space="preserve">https://developers.google.com/earth-engine/guides/reducers_intro</w:t>
        </w:r>
      </w:hyperlink>
      <w:r>
        <w:t xml:space="preserve">.</w:t>
      </w:r>
    </w:p>
    <w:bookmarkEnd w:id="157"/>
    <w:bookmarkStart w:id="159" w:name="ref-gorelick_google_2017"/>
    <w:p>
      <w:pPr>
        <w:pStyle w:val="Bibliography"/>
      </w:pPr>
      <w:r>
        <w:t xml:space="preserve">Gorelick, Noel, Matt Hancher, Mike Dixon, Simon Ilyushchenko, David Thau, and Rebecca Moore. 2017.</w:t>
      </w:r>
      <w:r>
        <w:t xml:space="preserve"> </w:t>
      </w:r>
      <w:r>
        <w:t xml:space="preserve">“Google</w:t>
      </w:r>
      <w:r>
        <w:t xml:space="preserve"> </w:t>
      </w:r>
      <w:r>
        <w:t xml:space="preserve">Earth</w:t>
      </w:r>
      <w:r>
        <w:t xml:space="preserve"> </w:t>
      </w:r>
      <w:r>
        <w:t xml:space="preserve">Engine</w:t>
      </w:r>
      <w:r>
        <w:t xml:space="preserve">:</w:t>
      </w:r>
      <w:r>
        <w:t xml:space="preserve"> </w:t>
      </w:r>
      <w:r>
        <w:t xml:space="preserve">Planetary</w:t>
      </w:r>
      <w:r>
        <w:t xml:space="preserve">-Scale Geospatial Analysis for Everyone.”</w:t>
      </w:r>
      <w:r>
        <w:t xml:space="preserve"> </w:t>
      </w:r>
      <w:r>
        <w:rPr>
          <w:iCs/>
          <w:i/>
        </w:rPr>
        <w:t xml:space="preserve">Remote Sensing of Environment</w:t>
      </w:r>
      <w:r>
        <w:t xml:space="preserve">, Big</w:t>
      </w:r>
      <w:r>
        <w:t xml:space="preserve"> </w:t>
      </w:r>
      <w:r>
        <w:t xml:space="preserve">Remotely</w:t>
      </w:r>
      <w:r>
        <w:t xml:space="preserve"> </w:t>
      </w:r>
      <w:r>
        <w:t xml:space="preserve">Sensed</w:t>
      </w:r>
      <w:r>
        <w:t xml:space="preserve"> </w:t>
      </w:r>
      <w:r>
        <w:t xml:space="preserve">Data</w:t>
      </w:r>
      <w:r>
        <w:t xml:space="preserve">: Tools, applications and experiences, 202 (December): 18–27.</w:t>
      </w:r>
      <w:r>
        <w:t xml:space="preserve"> </w:t>
      </w:r>
      <w:hyperlink r:id="rId158">
        <w:r>
          <w:rPr>
            <w:rStyle w:val="Hyperlink"/>
          </w:rPr>
          <w:t xml:space="preserve">https://doi.org/10.1016/j.rse.2017.06.031</w:t>
        </w:r>
      </w:hyperlink>
      <w:r>
        <w:t xml:space="preserve">.</w:t>
      </w:r>
    </w:p>
    <w:bookmarkEnd w:id="159"/>
    <w:bookmarkStart w:id="160" w:name="ref-Jensen1986IntroductoryDI"/>
    <w:p>
      <w:pPr>
        <w:pStyle w:val="Bibliography"/>
      </w:pPr>
      <w:r>
        <w:t xml:space="preserve">Jensen, J. Robert. 1986.</w:t>
      </w:r>
      <w:r>
        <w:t xml:space="preserve"> </w:t>
      </w:r>
      <w:r>
        <w:t xml:space="preserve">“Introductory Digital Image Processing: A Remote Sensing Perspective.”</w:t>
      </w:r>
      <w:r>
        <w:t xml:space="preserve"> </w:t>
      </w:r>
      <w:r>
        <w:t xml:space="preserve">In.</w:t>
      </w:r>
    </w:p>
    <w:bookmarkEnd w:id="160"/>
    <w:bookmarkStart w:id="162" w:name="ref-maclachlan_sustainable_2021"/>
    <w:p>
      <w:pPr>
        <w:pStyle w:val="Bibliography"/>
      </w:pPr>
      <w:r>
        <w:t xml:space="preserve">MacLachlan, Andrew, Eloise Biggs, Gareth Roberts, and Bryan Boruff. 2021.</w:t>
      </w:r>
      <w:r>
        <w:t xml:space="preserve"> </w:t>
      </w:r>
      <w:r>
        <w:t xml:space="preserve">“Sustainable</w:t>
      </w:r>
      <w:r>
        <w:t xml:space="preserve"> </w:t>
      </w:r>
      <w:r>
        <w:t xml:space="preserve">City</w:t>
      </w:r>
      <w:r>
        <w:t xml:space="preserve"> </w:t>
      </w:r>
      <w:r>
        <w:t xml:space="preserve">Planning</w:t>
      </w:r>
      <w:r>
        <w:t xml:space="preserve">:</w:t>
      </w:r>
      <w:r>
        <w:t xml:space="preserve"> </w:t>
      </w:r>
      <w:r>
        <w:t xml:space="preserve">A</w:t>
      </w:r>
      <w:r>
        <w:t xml:space="preserve"> </w:t>
      </w:r>
      <w:r>
        <w:t xml:space="preserve">Data</w:t>
      </w:r>
      <w:r>
        <w:t xml:space="preserve">-</w:t>
      </w:r>
      <w:r>
        <w:t xml:space="preserve">Driven</w:t>
      </w:r>
      <w:r>
        <w:t xml:space="preserve"> </w:t>
      </w:r>
      <w:r>
        <w:t xml:space="preserve">Approach</w:t>
      </w:r>
      <w:r>
        <w:t xml:space="preserve"> </w:t>
      </w:r>
      <w:r>
        <w:t xml:space="preserve">for</w:t>
      </w:r>
      <w:r>
        <w:t xml:space="preserve"> </w:t>
      </w:r>
      <w:r>
        <w:t xml:space="preserve">Mitigating</w:t>
      </w:r>
      <w:r>
        <w:t xml:space="preserve"> </w:t>
      </w:r>
      <w:r>
        <w:t xml:space="preserve">Urban</w:t>
      </w:r>
      <w:r>
        <w:t xml:space="preserve"> </w:t>
      </w:r>
      <w:r>
        <w:t xml:space="preserve">Heat</w:t>
      </w:r>
      <w:r>
        <w:t xml:space="preserve">.”</w:t>
      </w:r>
      <w:r>
        <w:t xml:space="preserve"> </w:t>
      </w:r>
      <w:r>
        <w:rPr>
          <w:iCs/>
          <w:i/>
        </w:rPr>
        <w:t xml:space="preserve">Frontiers in Built Environment</w:t>
      </w:r>
      <w:r>
        <w:t xml:space="preserve"> </w:t>
      </w:r>
      <w:r>
        <w:t xml:space="preserve">6.</w:t>
      </w:r>
      <w:r>
        <w:t xml:space="preserve"> </w:t>
      </w:r>
      <w:hyperlink r:id="rId161">
        <w:r>
          <w:rPr>
            <w:rStyle w:val="Hyperlink"/>
          </w:rPr>
          <w:t xml:space="preserve">https://www.frontiersin.org/articles/10.3389/fbuil.2020.519599</w:t>
        </w:r>
      </w:hyperlink>
      <w:r>
        <w:t xml:space="preserve">.</w:t>
      </w:r>
    </w:p>
    <w:bookmarkEnd w:id="162"/>
    <w:bookmarkStart w:id="164" w:name="ref-millard_wetland_2013"/>
    <w:p>
      <w:pPr>
        <w:pStyle w:val="Bibliography"/>
      </w:pPr>
      <w:r>
        <w:t xml:space="preserve">Millard, Koreen, and Murray Richardson. 2013.</w:t>
      </w:r>
      <w:r>
        <w:t xml:space="preserve"> </w:t>
      </w:r>
      <w:r>
        <w:t xml:space="preserve">“Wetland Mapping with</w:t>
      </w:r>
      <w:r>
        <w:t xml:space="preserve"> </w:t>
      </w:r>
      <w:r>
        <w:t xml:space="preserve">LiDAR</w:t>
      </w:r>
      <w:r>
        <w:t xml:space="preserve"> </w:t>
      </w:r>
      <w:r>
        <w:t xml:space="preserve">Derivatives,</w:t>
      </w:r>
      <w:r>
        <w:t xml:space="preserve"> </w:t>
      </w:r>
      <w:r>
        <w:t xml:space="preserve">SAR</w:t>
      </w:r>
      <w:r>
        <w:t xml:space="preserve"> </w:t>
      </w:r>
      <w:r>
        <w:t xml:space="preserve">Polarimetric Decompositions, and</w:t>
      </w:r>
      <w:r>
        <w:t xml:space="preserve"> </w:t>
      </w:r>
      <w:r>
        <w:t xml:space="preserve">LiDAR</w:t>
      </w:r>
      <w:r>
        <w:t xml:space="preserve">–</w:t>
      </w:r>
      <w:r>
        <w:t xml:space="preserve">SAR</w:t>
      </w:r>
      <w:r>
        <w:t xml:space="preserve"> </w:t>
      </w:r>
      <w:r>
        <w:t xml:space="preserve">Fusion Using a Random Forest Classifier.”</w:t>
      </w:r>
      <w:r>
        <w:t xml:space="preserve"> </w:t>
      </w:r>
      <w:r>
        <w:rPr>
          <w:iCs/>
          <w:i/>
        </w:rPr>
        <w:t xml:space="preserve">Canadian Journal of Remote Sensing</w:t>
      </w:r>
      <w:r>
        <w:t xml:space="preserve"> </w:t>
      </w:r>
      <w:r>
        <w:t xml:space="preserve">39 (4): 290–307.</w:t>
      </w:r>
      <w:r>
        <w:t xml:space="preserve"> </w:t>
      </w:r>
      <w:hyperlink r:id="rId163">
        <w:r>
          <w:rPr>
            <w:rStyle w:val="Hyperlink"/>
          </w:rPr>
          <w:t xml:space="preserve">https://doi.org/10.5589/m13-038</w:t>
        </w:r>
      </w:hyperlink>
      <w:r>
        <w:t xml:space="preserve">.</w:t>
      </w:r>
    </w:p>
    <w:bookmarkEnd w:id="164"/>
    <w:bookmarkStart w:id="165" w:name="ref-moore_google_2011"/>
    <w:p>
      <w:pPr>
        <w:pStyle w:val="Bibliography"/>
      </w:pPr>
      <w:r>
        <w:t xml:space="preserve">Moore, R., and M. Hansen. 2011.</w:t>
      </w:r>
      <w:r>
        <w:t xml:space="preserve"> </w:t>
      </w:r>
      <w:r>
        <w:t xml:space="preserve">“Google</w:t>
      </w:r>
      <w:r>
        <w:t xml:space="preserve"> </w:t>
      </w:r>
      <w:r>
        <w:t xml:space="preserve">Earth</w:t>
      </w:r>
      <w:r>
        <w:t xml:space="preserve"> </w:t>
      </w:r>
      <w:r>
        <w:t xml:space="preserve">Engine</w:t>
      </w:r>
      <w:r>
        <w:t xml:space="preserve">: A New Cloud-Computing Platform for Global-Scale Earth Observation Data and Analysis.”</w:t>
      </w:r>
      <w:r>
        <w:t xml:space="preserve"> </w:t>
      </w:r>
      <w:r>
        <w:rPr>
          <w:iCs/>
          <w:i/>
        </w:rPr>
        <w:t xml:space="preserve">AGU Fall Meeting Abstracts</w:t>
      </w:r>
      <w:r>
        <w:t xml:space="preserve">, December, 02.</w:t>
      </w:r>
    </w:p>
    <w:bookmarkEnd w:id="165"/>
    <w:bookmarkStart w:id="166" w:name="ref-nair2018automated"/>
    <w:p>
      <w:pPr>
        <w:pStyle w:val="Bibliography"/>
      </w:pPr>
      <w:r>
        <w:t xml:space="preserve">Nair, Rahul, P. J. Paul, and K. Poulose Jacob. 2018.</w:t>
      </w:r>
      <w:r>
        <w:t xml:space="preserve"> </w:t>
      </w:r>
      <w:r>
        <w:t xml:space="preserve">“Automated Image Annotation: A Survey.”</w:t>
      </w:r>
      <w:r>
        <w:t xml:space="preserve"> </w:t>
      </w:r>
      <w:r>
        <w:rPr>
          <w:iCs/>
          <w:i/>
        </w:rPr>
        <w:t xml:space="preserve">Journal of Imaging</w:t>
      </w:r>
      <w:r>
        <w:t xml:space="preserve"> </w:t>
      </w:r>
      <w:r>
        <w:t xml:space="preserve">4 (3): 37.</w:t>
      </w:r>
    </w:p>
    <w:bookmarkEnd w:id="166"/>
    <w:bookmarkStart w:id="168" w:name="ref-robison2018future"/>
    <w:p>
      <w:pPr>
        <w:pStyle w:val="Bibliography"/>
      </w:pPr>
      <w:r>
        <w:t xml:space="preserve">Robison, Keela. 2018.</w:t>
      </w:r>
      <w:r>
        <w:t xml:space="preserve"> </w:t>
      </w:r>
      <w:r>
        <w:t xml:space="preserve">“The Future of Image Annotation: Human in the Loop.”</w:t>
      </w:r>
      <w:r>
        <w:t xml:space="preserve"> </w:t>
      </w:r>
      <w:hyperlink r:id="rId167">
        <w:r>
          <w:rPr>
            <w:rStyle w:val="Hyperlink"/>
          </w:rPr>
          <w:t xml:space="preserve">https://lionbridge.ai/articles/the-future-of-image-annotation-human-in-the-loop/</w:t>
        </w:r>
      </w:hyperlink>
      <w:r>
        <w:t xml:space="preserve">.</w:t>
      </w:r>
    </w:p>
    <w:bookmarkEnd w:id="168"/>
    <w:bookmarkStart w:id="170" w:name="ref-saad_el_imanni_multispectral_2023"/>
    <w:p>
      <w:pPr>
        <w:pStyle w:val="Bibliography"/>
      </w:pPr>
      <w:r>
        <w:t xml:space="preserve">Saad El Imanni, Hajar, Abderrazak El Harti, El Mostafa Bachaoui, Hicham Mouncif, Fatine Eddassouqui, Mohamed Achraf Hasnai, and Moulay Ismail Zinelabidine. 2023.</w:t>
      </w:r>
      <w:r>
        <w:t xml:space="preserve"> </w:t>
      </w:r>
      <w:r>
        <w:t xml:space="preserve">“Multispectral</w:t>
      </w:r>
      <w:r>
        <w:t xml:space="preserve"> </w:t>
      </w:r>
      <w:r>
        <w:t xml:space="preserve">UAV</w:t>
      </w:r>
      <w:r>
        <w:t xml:space="preserve"> </w:t>
      </w:r>
      <w:r>
        <w:t xml:space="preserve">Data for Detection of Weeds in a Citrus Farm Using Machine Learning and</w:t>
      </w:r>
      <w:r>
        <w:t xml:space="preserve"> </w:t>
      </w:r>
      <w:r>
        <w:t xml:space="preserve">Google</w:t>
      </w:r>
      <w:r>
        <w:t xml:space="preserve"> </w:t>
      </w:r>
      <w:r>
        <w:t xml:space="preserve">Earth</w:t>
      </w:r>
      <w:r>
        <w:t xml:space="preserve"> </w:t>
      </w:r>
      <w:r>
        <w:t xml:space="preserve">Engine</w:t>
      </w:r>
      <w:r>
        <w:t xml:space="preserve">:</w:t>
      </w:r>
      <w:r>
        <w:t xml:space="preserve"> </w:t>
      </w:r>
      <w:r>
        <w:t xml:space="preserve">Case</w:t>
      </w:r>
      <w:r>
        <w:t xml:space="preserve"> </w:t>
      </w:r>
      <w:r>
        <w:t xml:space="preserve">Study of</w:t>
      </w:r>
      <w:r>
        <w:t xml:space="preserve"> </w:t>
      </w:r>
      <w:r>
        <w:t xml:space="preserve">Morocco</w:t>
      </w:r>
      <w:r>
        <w:t xml:space="preserve">.”</w:t>
      </w:r>
      <w:r>
        <w:t xml:space="preserve"> </w:t>
      </w:r>
      <w:r>
        <w:rPr>
          <w:iCs/>
          <w:i/>
        </w:rPr>
        <w:t xml:space="preserve">Remote Sensing Applications: Society and Environment</w:t>
      </w:r>
      <w:r>
        <w:t xml:space="preserve"> </w:t>
      </w:r>
      <w:r>
        <w:t xml:space="preserve">30 (April): 100941.</w:t>
      </w:r>
      <w:r>
        <w:t xml:space="preserve"> </w:t>
      </w:r>
      <w:hyperlink r:id="rId169">
        <w:r>
          <w:rPr>
            <w:rStyle w:val="Hyperlink"/>
          </w:rPr>
          <w:t xml:space="preserve">https://doi.org/10.1016/j.rsase.2023.100941</w:t>
        </w:r>
      </w:hyperlink>
      <w:r>
        <w:t xml:space="preserve">.</w:t>
      </w:r>
    </w:p>
    <w:bookmarkEnd w:id="170"/>
    <w:bookmarkStart w:id="172" w:name="ref-schulte_to_buhne_better_2018"/>
    <w:p>
      <w:pPr>
        <w:pStyle w:val="Bibliography"/>
      </w:pPr>
      <w:r>
        <w:t xml:space="preserve">Schulte to Bühne, Henrike, and Nathalie Pettorelli. 2018.</w:t>
      </w:r>
      <w:r>
        <w:t xml:space="preserve"> </w:t>
      </w:r>
      <w:r>
        <w:t xml:space="preserve">“Better Together:</w:t>
      </w:r>
      <w:r>
        <w:t xml:space="preserve"> </w:t>
      </w:r>
      <w:r>
        <w:t xml:space="preserve">Integrating</w:t>
      </w:r>
      <w:r>
        <w:t xml:space="preserve"> </w:t>
      </w:r>
      <w:r>
        <w:t xml:space="preserve">and Fusing Multispectral and Radar Satellite Imagery to Inform Biodiversity Monitoring, Ecological Research and Conservation Science.”</w:t>
      </w:r>
      <w:r>
        <w:t xml:space="preserve"> </w:t>
      </w:r>
      <w:r>
        <w:rPr>
          <w:iCs/>
          <w:i/>
        </w:rPr>
        <w:t xml:space="preserve">Methods in Ecology and Evolution</w:t>
      </w:r>
      <w:r>
        <w:t xml:space="preserve"> </w:t>
      </w:r>
      <w:r>
        <w:t xml:space="preserve">9 (4): 849–65.</w:t>
      </w:r>
      <w:r>
        <w:t xml:space="preserve"> </w:t>
      </w:r>
      <w:hyperlink r:id="rId171">
        <w:r>
          <w:rPr>
            <w:rStyle w:val="Hyperlink"/>
          </w:rPr>
          <w:t xml:space="preserve">https://doi.org/10.1111/2041-210X.12942</w:t>
        </w:r>
      </w:hyperlink>
      <w:r>
        <w:t xml:space="preserve">.</w:t>
      </w:r>
    </w:p>
    <w:bookmarkEnd w:id="172"/>
    <w:bookmarkEnd w:id="173"/>
    <w:bookmarkEnd w:id="1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102" Target="media/rId102.png" /><Relationship Type="http://schemas.openxmlformats.org/officeDocument/2006/relationships/image" Id="rId54" Target="media/rId54.png" /><Relationship Type="http://schemas.openxmlformats.org/officeDocument/2006/relationships/image" Id="rId93" Target="media/rId93.png" /><Relationship Type="http://schemas.openxmlformats.org/officeDocument/2006/relationships/image" Id="rId142" Target="media/rId142.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27" Target="media/rId27.png" /><Relationship Type="http://schemas.openxmlformats.org/officeDocument/2006/relationships/hyperlink" Id="rId24" Target="" TargetMode="External" /><Relationship Type="http://schemas.openxmlformats.org/officeDocument/2006/relationships/hyperlink" Id="rId154" Target="https://developers.google.com/earth-engine/guides/machine-learning" TargetMode="External" /><Relationship Type="http://schemas.openxmlformats.org/officeDocument/2006/relationships/hyperlink" Id="rId156" Target="https://developers.google.com/earth-engine/guides/reducers_intro" TargetMode="External" /><Relationship Type="http://schemas.openxmlformats.org/officeDocument/2006/relationships/hyperlink" Id="rId169" Target="https://doi.org/10.1016/j.rsase.2023.100941" TargetMode="External" /><Relationship Type="http://schemas.openxmlformats.org/officeDocument/2006/relationships/hyperlink" Id="rId158" Target="https://doi.org/10.1016/j.rse.2017.06.031" TargetMode="External" /><Relationship Type="http://schemas.openxmlformats.org/officeDocument/2006/relationships/hyperlink" Id="rId171" Target="https://doi.org/10.1111/2041-210X.12942" TargetMode="External" /><Relationship Type="http://schemas.openxmlformats.org/officeDocument/2006/relationships/hyperlink" Id="rId152" Target="https://doi.org/10.3390/rs9101056" TargetMode="External" /><Relationship Type="http://schemas.openxmlformats.org/officeDocument/2006/relationships/hyperlink" Id="rId163" Target="https://doi.org/10.5589/m13-038" TargetMode="External" /><Relationship Type="http://schemas.openxmlformats.org/officeDocument/2006/relationships/hyperlink" Id="rId150" Target="https://doi.org/10.5772/intechopen.80224" TargetMode="External" /><Relationship Type="http://schemas.openxmlformats.org/officeDocument/2006/relationships/hyperlink" Id="rId136" Target="https://ec.europa.eu/info/food-farming-fisheries/key-policies/common-agricultural-policy/cap-glance_en" TargetMode="External" /><Relationship Type="http://schemas.openxmlformats.org/officeDocument/2006/relationships/hyperlink" Id="rId167" Target="https://lionbridge.ai/articles/the-future-of-image-annotation-human-in-the-loop/" TargetMode="External" /><Relationship Type="http://schemas.openxmlformats.org/officeDocument/2006/relationships/hyperlink" Id="rId89" Target="https://ncics.org/data/noaa-big-data-project/" TargetMode="External" /><Relationship Type="http://schemas.openxmlformats.org/officeDocument/2006/relationships/hyperlink" Id="rId62" Target="https://onenyc.cityofnewyork.us/wp-content/uploads/2019/05/OneNYC-2050-Summary.pdf" TargetMode="External" /><Relationship Type="http://schemas.openxmlformats.org/officeDocument/2006/relationships/hyperlink" Id="rId139" Target="https://unfccc.int/" TargetMode="External" /><Relationship Type="http://schemas.openxmlformats.org/officeDocument/2006/relationships/hyperlink" Id="rId88" Target="https://unfccc.int/topics/land-use/workstreams/reddplus" TargetMode="External" /><Relationship Type="http://schemas.openxmlformats.org/officeDocument/2006/relationships/hyperlink" Id="rId87" Target="https://www.copernicus.eu/en" TargetMode="External" /><Relationship Type="http://schemas.openxmlformats.org/officeDocument/2006/relationships/hyperlink" Id="rId161" Target="https://www.frontiersin.org/articles/10.3389/fbuil.2020.519599" TargetMode="External" /><Relationship Type="http://schemas.openxmlformats.org/officeDocument/2006/relationships/hyperlink" Id="rId137" Target="https://www.ramsar.org/" TargetMode="External" /><Relationship Type="http://schemas.openxmlformats.org/officeDocument/2006/relationships/hyperlink" Id="rId138" Target="https://www.un.org/Depts/los/convention_agreements/convention_overview_convention.htm" TargetMode="External" /><Relationship Type="http://schemas.openxmlformats.org/officeDocument/2006/relationships/hyperlink" Id="rId135" Target="https://www.undrr.org/implementing-sendai-framework/what-sendai-framework"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154" Target="https://developers.google.com/earth-engine/guides/machine-learning" TargetMode="External" /><Relationship Type="http://schemas.openxmlformats.org/officeDocument/2006/relationships/hyperlink" Id="rId156" Target="https://developers.google.com/earth-engine/guides/reducers_intro" TargetMode="External" /><Relationship Type="http://schemas.openxmlformats.org/officeDocument/2006/relationships/hyperlink" Id="rId169" Target="https://doi.org/10.1016/j.rsase.2023.100941" TargetMode="External" /><Relationship Type="http://schemas.openxmlformats.org/officeDocument/2006/relationships/hyperlink" Id="rId158" Target="https://doi.org/10.1016/j.rse.2017.06.031" TargetMode="External" /><Relationship Type="http://schemas.openxmlformats.org/officeDocument/2006/relationships/hyperlink" Id="rId171" Target="https://doi.org/10.1111/2041-210X.12942" TargetMode="External" /><Relationship Type="http://schemas.openxmlformats.org/officeDocument/2006/relationships/hyperlink" Id="rId152" Target="https://doi.org/10.3390/rs9101056" TargetMode="External" /><Relationship Type="http://schemas.openxmlformats.org/officeDocument/2006/relationships/hyperlink" Id="rId163" Target="https://doi.org/10.5589/m13-038" TargetMode="External" /><Relationship Type="http://schemas.openxmlformats.org/officeDocument/2006/relationships/hyperlink" Id="rId150" Target="https://doi.org/10.5772/intechopen.80224" TargetMode="External" /><Relationship Type="http://schemas.openxmlformats.org/officeDocument/2006/relationships/hyperlink" Id="rId136" Target="https://ec.europa.eu/info/food-farming-fisheries/key-policies/common-agricultural-policy/cap-glance_en" TargetMode="External" /><Relationship Type="http://schemas.openxmlformats.org/officeDocument/2006/relationships/hyperlink" Id="rId167" Target="https://lionbridge.ai/articles/the-future-of-image-annotation-human-in-the-loop/" TargetMode="External" /><Relationship Type="http://schemas.openxmlformats.org/officeDocument/2006/relationships/hyperlink" Id="rId89" Target="https://ncics.org/data/noaa-big-data-project/" TargetMode="External" /><Relationship Type="http://schemas.openxmlformats.org/officeDocument/2006/relationships/hyperlink" Id="rId62" Target="https://onenyc.cityofnewyork.us/wp-content/uploads/2019/05/OneNYC-2050-Summary.pdf" TargetMode="External" /><Relationship Type="http://schemas.openxmlformats.org/officeDocument/2006/relationships/hyperlink" Id="rId139" Target="https://unfccc.int/" TargetMode="External" /><Relationship Type="http://schemas.openxmlformats.org/officeDocument/2006/relationships/hyperlink" Id="rId88" Target="https://unfccc.int/topics/land-use/workstreams/reddplus" TargetMode="External" /><Relationship Type="http://schemas.openxmlformats.org/officeDocument/2006/relationships/hyperlink" Id="rId87" Target="https://www.copernicus.eu/en" TargetMode="External" /><Relationship Type="http://schemas.openxmlformats.org/officeDocument/2006/relationships/hyperlink" Id="rId161" Target="https://www.frontiersin.org/articles/10.3389/fbuil.2020.519599" TargetMode="External" /><Relationship Type="http://schemas.openxmlformats.org/officeDocument/2006/relationships/hyperlink" Id="rId137" Target="https://www.ramsar.org/" TargetMode="External" /><Relationship Type="http://schemas.openxmlformats.org/officeDocument/2006/relationships/hyperlink" Id="rId138" Target="https://www.un.org/Depts/los/convention_agreements/convention_overview_convention.htm" TargetMode="External" /><Relationship Type="http://schemas.openxmlformats.org/officeDocument/2006/relationships/hyperlink" Id="rId135" Target="https://www.undrr.org/implementing-sendai-framework/what-sendai-frame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Diary - CASA0023</dc:title>
  <dc:creator>Tongmeng Xie</dc:creator>
  <cp:keywords/>
  <dcterms:created xsi:type="dcterms:W3CDTF">2023-03-24T13:42:27Z</dcterms:created>
  <dcterms:modified xsi:type="dcterms:W3CDTF">2023-03-24T13:42:27Z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2023/3/16</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