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8.png" ContentType="image/png"/>
  <Override PartName="/word/media/rId98.png" ContentType="image/png"/>
  <Override PartName="/word/media/rId51.png" ContentType="image/png"/>
  <Override PartName="/word/media/rId89.png" ContentType="image/png"/>
  <Override PartName="/word/media/rId46.png" ContentType="image/png"/>
  <Override PartName="/word/media/rId42.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1"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bookmarkEnd w:id="21"/>
    <w:bookmarkStart w:id="32" w:name="week-1"/>
    <w:p>
      <w:pPr>
        <w:pStyle w:val="Heading1"/>
      </w:pPr>
      <w:r>
        <w:t xml:space="preserve">1. Week 1</w:t>
      </w:r>
    </w:p>
    <w:bookmarkStart w:id="29" w:name="summary"/>
    <w:p>
      <w:pPr>
        <w:pStyle w:val="Heading2"/>
      </w:pPr>
      <w:r>
        <w:t xml:space="preserve">1.1 Summary</w:t>
      </w:r>
    </w:p>
    <w:p>
      <w:pPr>
        <w:pStyle w:val="FirstParagraph"/>
      </w:pPr>
      <w:r>
        <w:t xml:space="preserve">This section summarises the lecture content and a graph of feature space derived from practical in SNAP operations.</w:t>
      </w:r>
    </w:p>
    <w:p>
      <w:pPr>
        <w:pStyle w:val="BodyText"/>
      </w:pPr>
      <w:r>
        <w:t xml:space="preserve">Passive data: Energy usually in eletcromagnetic form e.g., human eyes</w:t>
      </w:r>
    </w:p>
    <w:p>
      <w:pPr>
        <w:pStyle w:val="BodyText"/>
      </w:pPr>
      <w:r>
        <w:t xml:space="preserve">Active data: Energy in addition in illumination . e.g., radar.</w:t>
      </w:r>
    </w:p>
    <w:p>
      <w:pPr>
        <w:pStyle w:val="BodyText"/>
      </w:pPr>
      <w:r>
        <w:t xml:space="preserve">How EM waves interact with Earth’s surface and atmosphere: Reflection, scattering, absorption</w:t>
      </w:r>
    </w:p>
    <w:p>
      <w:pPr>
        <w:pStyle w:val="BodyText"/>
      </w:pPr>
      <w:r>
        <w:t xml:space="preserve">single</w:t>
      </w:r>
    </w:p>
    <w:p>
      <w:pPr>
        <w:pStyle w:val="BodyText"/>
      </w:pPr>
      <w:r>
        <w:t xml:space="preserve">dual</w:t>
      </w:r>
    </w:p>
    <w:p>
      <w:pPr>
        <w:pStyle w:val="BodyText"/>
      </w:pPr>
      <w:r>
        <w:t xml:space="preserve">quad</w:t>
      </w:r>
    </w:p>
    <w:bookmarkStart w:id="22" w:name="remotely-sensed-data-usually-comes-in"/>
    <w:p>
      <w:pPr>
        <w:pStyle w:val="Heading3"/>
      </w:pPr>
      <w:r>
        <w:t xml:space="preserve">1.1.1 remotely-sensed data usually comes in</w:t>
      </w:r>
    </w:p>
    <w:p>
      <w:pPr>
        <w:pStyle w:val="FirstParagraph"/>
      </w:pPr>
      <w:r>
        <w:t xml:space="preserve">Raster: file</w:t>
      </w:r>
    </w:p>
    <w:p>
      <w:pPr>
        <w:pStyle w:val="BodyText"/>
      </w:pPr>
      <w:r>
        <w:t xml:space="preserve">types: BIL, BSQM BIP, GeoTIFF</w:t>
      </w:r>
    </w:p>
    <w:bookmarkEnd w:id="22"/>
    <w:bookmarkStart w:id="23" w:name="four-resolutions"/>
    <w:p>
      <w:pPr>
        <w:pStyle w:val="Heading3"/>
      </w:pPr>
      <w:r>
        <w:t xml:space="preserve">1.1.2 Four resolutions:</w:t>
      </w:r>
    </w:p>
    <w:p>
      <w:pPr>
        <w:pStyle w:val="FirstParagraph"/>
      </w:pPr>
      <w:r>
        <w:t xml:space="preserve">Spatial: ranging from 10 cm to several kilos</w:t>
      </w:r>
    </w:p>
    <w:p>
      <w:pPr>
        <w:pStyle w:val="BodyText"/>
      </w:pPr>
      <w:r>
        <w:t xml:space="preserve">Spectral: How many different spectral bands are there? (Every feature on earth has a unique spectral signature)</w:t>
      </w:r>
    </w:p>
    <w:p>
      <w:pPr>
        <w:pStyle w:val="BodyText"/>
      </w:pPr>
      <w:r>
        <w:t xml:space="preserve">(Atmospheric windows: )</w:t>
      </w:r>
    </w:p>
    <w:p>
      <w:pPr>
        <w:pStyle w:val="BodyText"/>
      </w:pPr>
      <w:r>
        <w:t xml:space="preserve">(Vegetation: red edge -- infra bands. APP: look at the infra band s of city to identify who has access to vegetation)</w:t>
      </w:r>
    </w:p>
    <w:p>
      <w:pPr>
        <w:pStyle w:val="BodyText"/>
      </w:pPr>
      <w:r>
        <w:t xml:space="preserve">Radiometric resolution: resolution of cell’s value</w:t>
      </w:r>
    </w:p>
    <w:p>
      <w:pPr>
        <w:pStyle w:val="BodyText"/>
      </w:pPr>
      <w:r>
        <w:t xml:space="preserve">Temporal resolution: ussualy inversly relate3 to pixel size (spatial)</w:t>
      </w:r>
    </w:p>
    <w:p>
      <w:pPr>
        <w:pStyle w:val="BodyText"/>
      </w:pPr>
      <w:r>
        <w:t xml:space="preserve">MODIS</w:t>
      </w:r>
    </w:p>
    <w:bookmarkEnd w:id="23"/>
    <w:bookmarkStart w:id="28" w:name="practical"/>
    <w:p>
      <w:pPr>
        <w:pStyle w:val="Heading3"/>
      </w:pPr>
      <w:r>
        <w:t xml:space="preserve">1.1.3 Practical</w:t>
      </w:r>
    </w:p>
    <w:tbl>
      <w:tblPr>
        <w:tblStyle w:val="Table"/>
        <w:tblW w:type="pct" w:w="5000"/>
        <w:tblLook w:firstRow="0" w:lastRow="0" w:firstColumn="0" w:lastColumn="0" w:noHBand="0" w:noVBand="0" w:val="0000"/>
      </w:tblPr>
      <w:tblGrid>
        <w:gridCol w:w="7920"/>
      </w:tblGrid>
      <w:tr>
        <w:tc>
          <w:tcPr/>
          <w:bookmarkStart w:id="27" w:name="fig-vege"/>
          <w:p>
            <w:pPr>
              <w:pStyle w:val="Figure"/>
              <w:jc w:val="center"/>
            </w:pPr>
            <w:r>
              <w:drawing>
                <wp:inline>
                  <wp:extent cx="5334000" cy="2507334"/>
                  <wp:effectExtent b="0" l="0" r="0" t="0"/>
                  <wp:docPr descr="" title="" id="25" name="Picture"/>
                  <a:graphic>
                    <a:graphicData uri="http://schemas.openxmlformats.org/drawingml/2006/picture">
                      <pic:pic>
                        <pic:nvPicPr>
                          <pic:cNvPr descr="./images/spectral_feature_space_vege_B04_B08.png" id="26" name="Picture"/>
                          <pic:cNvPicPr>
                            <a:picLocks noChangeArrowheads="1" noChangeAspect="1"/>
                          </pic:cNvPicPr>
                        </pic:nvPicPr>
                        <pic:blipFill>
                          <a:blip r:embed="rId24"/>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27"/>
        </w:tc>
      </w:tr>
    </w:tbl>
    <w:bookmarkEnd w:id="28"/>
    <w:bookmarkEnd w:id="29"/>
    <w:bookmarkStart w:id="30" w:name="application"/>
    <w:p>
      <w:pPr>
        <w:pStyle w:val="Heading2"/>
      </w:pPr>
      <w:r>
        <w:t xml:space="preserve">1.2 Application:</w:t>
      </w:r>
    </w:p>
    <w:p>
      <w:pPr>
        <w:pStyle w:val="FirstParagraph"/>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0"/>
    <w:bookmarkStart w:id="31" w:name="reflection"/>
    <w:p>
      <w:pPr>
        <w:pStyle w:val="Heading2"/>
      </w:pPr>
      <w:r>
        <w:t xml:space="preserve">1.3 Reflection</w:t>
      </w:r>
    </w:p>
    <w:p>
      <w:pPr>
        <w:pStyle w:val="FirstParagraph"/>
      </w:pPr>
      <w:r>
        <w:t xml:space="preserve">just state what interest you and why, as well as the application. Application: Context matters. Why useful? What had it assisted achieving. Mind map of concepts, to show understanding of data and workflow</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w:t>
      </w:r>
    </w:p>
    <w:p>
      <w:pPr>
        <w:pStyle w:val="BodyText"/>
      </w:pPr>
      <w:r>
        <w:t xml:space="preserve">When doing the operation in R on a script level, it becomes confusing where I put the data</w:t>
      </w:r>
    </w:p>
    <w:bookmarkEnd w:id="31"/>
    <w:bookmarkEnd w:id="32"/>
    <w:bookmarkStart w:id="33" w:name="week-2---portfolio"/>
    <w:p>
      <w:pPr>
        <w:pStyle w:val="Heading1"/>
      </w:pPr>
      <w:r>
        <w:t xml:space="preserve">2. Week 2 - Portfolio</w:t>
      </w:r>
    </w:p>
    <w:bookmarkEnd w:id="33"/>
    <w:bookmarkStart w:id="58" w:name="week-3---remote-sensing-data"/>
    <w:p>
      <w:pPr>
        <w:pStyle w:val="Heading1"/>
      </w:pPr>
      <w:r>
        <w:t xml:space="preserve">3. Week 3 - Remote sensing data</w:t>
      </w:r>
    </w:p>
    <w:p>
      <w:pPr>
        <w:pStyle w:val="FirstParagraph"/>
      </w:pPr>
      <w:r>
        <w:t xml:space="preserve">In this week’s learning diary, we try to handle</w:t>
      </w:r>
    </w:p>
    <w:bookmarkStart w:id="41" w:name="summary-1"/>
    <w:p>
      <w:pPr>
        <w:pStyle w:val="Heading2"/>
      </w:pPr>
      <w:r>
        <w:t xml:space="preserve">3.1 Summary:</w:t>
      </w:r>
    </w:p>
    <w:bookmarkStart w:id="34"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34"/>
    <w:bookmarkStart w:id="35"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35"/>
    <w:bookmarkStart w:id="36"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01"/>
        </w:numPr>
      </w:pPr>
      <w:r>
        <w:t xml:space="preserve">Biophysical parameters needed (e.g. temperature, leaf area index, NDVI)</w:t>
      </w:r>
    </w:p>
    <w:p>
      <w:pPr>
        <w:numPr>
          <w:ilvl w:val="0"/>
          <w:numId w:val="1001"/>
        </w:numPr>
      </w:pPr>
      <w:r>
        <w:t xml:space="preserve">E.g. .. .NDVI is used in the Africa Famine Early Warning System and Livestock Early Warning System</w:t>
      </w:r>
    </w:p>
    <w:p>
      <w:pPr>
        <w:numPr>
          <w:ilvl w:val="0"/>
          <w:numId w:val="1001"/>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36"/>
    <w:bookmarkStart w:id="37"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37"/>
    <w:bookmarkStart w:id="38"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38"/>
    <w:bookmarkStart w:id="39"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39"/>
    <w:bookmarkStart w:id="40"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0"/>
    <w:bookmarkEnd w:id="41"/>
    <w:bookmarkStart w:id="56" w:name="Xcdbeae6e80f1fe79c579cc2b7c795bcf25a3f61"/>
    <w:p>
      <w:pPr>
        <w:pStyle w:val="Heading2"/>
      </w:pPr>
      <w:r>
        <w:t xml:space="preserve">3.2 Application - Discussing image fusion in one literature</w:t>
      </w:r>
    </w:p>
    <w:p>
      <w:pPr>
        <w:pStyle w:val="FirstParagraph"/>
      </w:pPr>
      <w:bookmarkStart w:id="45" w:name="fig-mindmap01"/>
      <w:r>
        <w:drawing>
          <wp:inline>
            <wp:extent cx="5334000" cy="4025089"/>
            <wp:effectExtent b="0" l="0" r="0" t="0"/>
            <wp:docPr descr="" title="" id="43" name="Picture"/>
            <a:graphic>
              <a:graphicData uri="http://schemas.openxmlformats.org/drawingml/2006/picture">
                <pic:pic>
                  <pic:nvPicPr>
                    <pic:cNvPr descr="./images/image-620878088.png" id="44" name="Picture"/>
                    <pic:cNvPicPr>
                      <a:picLocks noChangeArrowheads="1" noChangeAspect="1"/>
                    </pic:cNvPicPr>
                  </pic:nvPicPr>
                  <pic:blipFill>
                    <a:blip r:embed="rId42"/>
                    <a:stretch>
                      <a:fillRect/>
                    </a:stretch>
                  </pic:blipFill>
                  <pic:spPr bwMode="auto">
                    <a:xfrm>
                      <a:off x="0" y="0"/>
                      <a:ext cx="5334000" cy="4025089"/>
                    </a:xfrm>
                    <a:prstGeom prst="rect">
                      <a:avLst/>
                    </a:prstGeom>
                    <a:noFill/>
                    <a:ln w="9525">
                      <a:noFill/>
                      <a:headEnd/>
                      <a:tailEnd/>
                    </a:ln>
                  </pic:spPr>
                </pic:pic>
              </a:graphicData>
            </a:graphic>
          </wp:inline>
        </w:drawing>
      </w:r>
      <w:bookmarkEnd w:id="45"/>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0"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49" w:name="fig-fusiontech"/>
          <w:p>
            <w:pPr>
              <w:pStyle w:val="Figure"/>
              <w:jc w:val="center"/>
            </w:pPr>
            <w:r>
              <w:drawing>
                <wp:inline>
                  <wp:extent cx="5334000" cy="7873787"/>
                  <wp:effectExtent b="0" l="0" r="0" t="0"/>
                  <wp:docPr descr="" title="" id="47" name="Picture"/>
                  <a:graphic>
                    <a:graphicData uri="http://schemas.openxmlformats.org/drawingml/2006/picture">
                      <pic:pic>
                        <pic:nvPicPr>
                          <pic:cNvPr descr="./images/fusion%20techniques.png" id="48" name="Picture"/>
                          <pic:cNvPicPr>
                            <a:picLocks noChangeArrowheads="1" noChangeAspect="1"/>
                          </pic:cNvPicPr>
                        </pic:nvPicPr>
                        <pic:blipFill>
                          <a:blip r:embed="rId46"/>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49"/>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0"/>
    <w:bookmarkStart w:id="55"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54" w:name="fig-impleApproach"/>
          <w:p>
            <w:pPr>
              <w:pStyle w:val="Figure"/>
              <w:jc w:val="center"/>
            </w:pPr>
            <w:r>
              <w:drawing>
                <wp:inline>
                  <wp:extent cx="5334000" cy="3920717"/>
                  <wp:effectExtent b="0" l="0" r="0" t="0"/>
                  <wp:docPr descr="" title="" id="52" name="Picture"/>
                  <a:graphic>
                    <a:graphicData uri="http://schemas.openxmlformats.org/drawingml/2006/picture">
                      <pic:pic>
                        <pic:nvPicPr>
                          <pic:cNvPr descr="./images/Implementation%20approach.png" id="53" name="Picture"/>
                          <pic:cNvPicPr>
                            <a:picLocks noChangeArrowheads="1" noChangeAspect="1"/>
                          </pic:cNvPicPr>
                        </pic:nvPicPr>
                        <pic:blipFill>
                          <a:blip r:embed="rId51"/>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54"/>
        </w:tc>
      </w:tr>
    </w:tbl>
    <w:p>
      <w:pPr>
        <w:pStyle w:val="BodyText"/>
      </w:pPr>
      <w:r>
        <w:rPr>
          <w:iCs/>
          <w:i/>
          <w:bCs/>
          <w:b/>
        </w:rPr>
        <w:t xml:space="preserve">pixel-level</w:t>
      </w:r>
    </w:p>
    <w:p>
      <w:pPr>
        <w:numPr>
          <w:ilvl w:val="0"/>
          <w:numId w:val="1002"/>
        </w:numPr>
        <w:pStyle w:val="Compact"/>
      </w:pPr>
      <w:r>
        <w:t xml:space="preserve">Component substitution techniques: such as principal component analysis (PCA), Intensity-hue-saturation (IHS). </w:t>
      </w:r>
      <w:r>
        <w:br/>
      </w:r>
    </w:p>
    <w:p>
      <w:pPr>
        <w:numPr>
          <w:ilvl w:val="0"/>
          <w:numId w:val="1002"/>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02"/>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02"/>
        </w:numPr>
        <w:pStyle w:val="Compact"/>
      </w:pPr>
      <w:r>
        <w:t xml:space="preserve">Multi-resolution analysis, such as **Wavelet transformation. Decompose multispectral and radar imagery into their respective low- and high-frequency components</w:t>
      </w:r>
      <w:r>
        <w:br/>
      </w:r>
    </w:p>
    <w:p>
      <w:pPr>
        <w:numPr>
          <w:ilvl w:val="0"/>
          <w:numId w:val="1002"/>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55"/>
    <w:bookmarkEnd w:id="56"/>
    <w:bookmarkStart w:id="57"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57"/>
    <w:bookmarkEnd w:id="58"/>
    <w:bookmarkStart w:id="63" w:name="week4---policy-case-study-in"/>
    <w:p>
      <w:pPr>
        <w:pStyle w:val="Heading1"/>
      </w:pPr>
      <w:r>
        <w:t xml:space="preserve">4. Week4 - Policy Case Study in</w:t>
      </w:r>
    </w:p>
    <w:p>
      <w:pPr>
        <w:pStyle w:val="FirstParagraph"/>
      </w:pPr>
      <w:hyperlink r:id="rId59">
        <w:r>
          <w:rPr>
            <w:rStyle w:val="Hyperlink"/>
          </w:rPr>
          <w:t xml:space="preserve">OneNYC-2050-Summary.pdf (cityofnewyork.us)</w:t>
        </w:r>
      </w:hyperlink>
    </w:p>
    <w:bookmarkStart w:id="60" w:name="summary-2"/>
    <w:p>
      <w:pPr>
        <w:pStyle w:val="Heading2"/>
      </w:pPr>
      <w:r>
        <w:t xml:space="preserve">4.1 Summary</w:t>
      </w:r>
    </w:p>
    <w:p>
      <w:pPr>
        <w:pStyle w:val="FirstParagraph"/>
      </w:pPr>
      <w:r>
        <w:t xml:space="preserve">Comprehensive Plan for New York City | |– Expanding Voting Rights | |– Increasing Digital Literacy | |– Providing Economic Security | | | |– Good-Paying Jobs | |– Support for Students in Temporary Housing | |– Access to Open Spaces &amp; Cultural Resources | | | |– Neighborhood Open Spaces | |– Cultural Resources | |– Promoting Healthy Lifestyles | |– Achieving Carbon Neutrality | | | |– Climate Accountability | |– Climate Justice | |– Enhancing Walkability &amp; Accessibility | |– Improving Infrastructure | | | |– Reducing Congestion &amp; Emissions | |– Strengthening Regional &amp; Global Connections | |– Core Physical Infrastructure &amp; Hazard Mitigation | |– Digital Infrastructure | |– Asset Maintenance &amp; Capital Project Delivery | |– Milestones | | | |– December 31, 2020 | |– December 31, 2021 | |– Goals | | | |– Empower New Yorkers in Democracy | |– Grow the Economy | |– Access to Open Spaces &amp; Cultural Resources | |– Improve Education | |– Achieve Carbon Neutrality | |– Strengthen Communities | |– Improve Mobility | |– Diversity &amp; Inclusionx</w:t>
      </w:r>
    </w:p>
    <w:bookmarkEnd w:id="60"/>
    <w:bookmarkStart w:id="61" w:name="application-1"/>
    <w:p>
      <w:pPr>
        <w:pStyle w:val="Heading2"/>
      </w:pPr>
      <w:r>
        <w:t xml:space="preserve">4.2 Application</w:t>
      </w:r>
    </w:p>
    <w:p>
      <w:pPr>
        <w:pStyle w:val="FirstParagraph"/>
      </w:pPr>
      <w:r>
        <w:t xml:space="preserve">The initiatives provided cover a wide range of areas, including education, small business support, community resilience, infrastructure, transportation, and sustainability. One of the key applications of these initiatives is to improve the quality of life for New Yorkers, particularly those in underrepresented communities. For example, the initiatives aimed at increasing the number of New Yorkers earning a high school equivalency diploma and connecting underrepresented groups to construction jobs created by City investments are designed to provide greater economic opportunities and upward mobility.</w:t>
      </w:r>
    </w:p>
    <w:p>
      <w:pPr>
        <w:pStyle w:val="BodyText"/>
      </w:pPr>
      <w:r>
        <w:t xml:space="preserve">Similarly, the initiatives aimed at enhancing walkability and accessibility and improving the sustainability and efficiency of air travel are designed to improve the physical infrastructure of the city and make it more accessible and sustainable for all residents. Another application of these initiatives is to promote equity and inclusivity in the city.</w:t>
      </w:r>
    </w:p>
    <w:p>
      <w:pPr>
        <w:pStyle w:val="BodyText"/>
      </w:pPr>
      <w:r>
        <w:t xml:space="preserve">Many of the initiatives are specifically targeted at underrepresented communities, such as the initiatives aimed at providing paid internships and professional development opportunities to cultural workers and supporting the growth and retention of small businesses.</w:t>
      </w:r>
    </w:p>
    <w:p>
      <w:pPr>
        <w:pStyle w:val="BodyText"/>
      </w:pPr>
      <w:r>
        <w:t xml:space="preserve">By providing resources and support to these communities, the city aims to promote greater equity and inclusivity and reduce disparities in access to resources and opportunities.</w:t>
      </w:r>
    </w:p>
    <w:p>
      <w:pPr>
        <w:pStyle w:val="BodyText"/>
      </w:pPr>
      <w:r>
        <w:t xml:space="preserve">The initiatives also reflect a commitment to sustainability and resilience. Many of the initiatives are aimed at improving the city’s infrastructure and transportation systems to make them more sustainable and resilient in the face of climate change and other challenges. For example, the initiatives aimed at investing in innovative and resilient transportation networks and enhancing walkability and accessibility are designed to reduce emissions and congestion and promote sustainable modes of transportation.</w:t>
      </w:r>
    </w:p>
    <w:p>
      <w:pPr>
        <w:pStyle w:val="BodyText"/>
      </w:pPr>
      <w:r>
        <w:t xml:space="preserve">Overall, the initiatives outlined in the text reflect a comprehensive and multi-faceted approach to improving life in New York City. While there is still much work to be done, these initiatives represent an important step forward in promoting equity, sustainability, and resilience in the city. As future literature advancements are made, it will be important to continue to evaluate and refine these approaches to ensure that they are effective and responsive to the needs of all New Yorkers.</w:t>
      </w:r>
    </w:p>
    <w:bookmarkEnd w:id="61"/>
    <w:bookmarkStart w:id="62" w:name="reflection-2"/>
    <w:p>
      <w:pPr>
        <w:pStyle w:val="Heading2"/>
      </w:pPr>
      <w:r>
        <w:t xml:space="preserve">4.3 Reflection</w:t>
      </w:r>
    </w:p>
    <w:p>
      <w:pPr>
        <w:pStyle w:val="FirstParagraph"/>
      </w:pPr>
      <w:r>
        <w:t xml:space="preserve">The initiatives outlined in the text cover critical components of urban planning and development, including infrastructure, transportation, education, and sustainability. The initiatives outlined in the text emphasize the importance of investing in the city’s data infrastructure and establishing a citywide data catalog, among other things. This requires a deep understanding of data management and analysis techniques, as well as the ability to work with large and complex datasets. Spatial data scientists and deep learning solution engineers can use these skills to develop innovative solutions for urban planning and development, such as predictive models for traffic flow or energy consumption.</w:t>
      </w:r>
    </w:p>
    <w:p>
      <w:pPr>
        <w:pStyle w:val="BodyText"/>
      </w:pPr>
      <w:r>
        <w:t xml:space="preserve">Many of the initiatives outlined in the text involve the use of GIS products and services, as well as the expansion of walkability and accessibility in the city. This requires a deep understanding of geospatial data analysis techniques, as well as the ability to work with mapping and visualization tools. Spatial data scientists and deep learning solution engineers can use these skills to develop innovative solutions for urban planning and development, such as interactive maps that show the most walkable routes in the city.</w:t>
      </w:r>
    </w:p>
    <w:p>
      <w:pPr>
        <w:pStyle w:val="BodyText"/>
      </w:pPr>
      <w:r>
        <w:t xml:space="preserve">In addition to these skills, the content, data, and tools presented in the text are highly relevant to the broader discipline of urban planning and development. Spatial data scientists and deep learning solution engineers can use these resources to develop innovative solutions for a wide range of urban challenges, from improving transportation networks to promoting sustainability and resilience. By leveraging these resources, these professionals can help to create more livable and equitable cities that meet the needs of all residents. Looking to the future, it will be important for spatial data scientists and deep learning solution engineers to continue to stay up-to-date with the latest advancements in data management, analysis, and visualization techniques.</w:t>
      </w:r>
    </w:p>
    <w:bookmarkEnd w:id="62"/>
    <w:bookmarkEnd w:id="63"/>
    <w:bookmarkStart w:id="71"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03"/>
        </w:numPr>
        <w:pStyle w:val="Compact"/>
      </w:pPr>
      <w:r>
        <w:t xml:space="preserve">The set up of GEE, its terms and jargon, and client vs server side operations, see Table 1</w:t>
      </w:r>
    </w:p>
    <w:p>
      <w:pPr>
        <w:numPr>
          <w:ilvl w:val="0"/>
          <w:numId w:val="1003"/>
        </w:numPr>
        <w:pStyle w:val="Compact"/>
      </w:pPr>
      <w:r>
        <w:t xml:space="preserve">How GEE uses Javascript and how mapping functions are used instead of loops</w:t>
      </w:r>
    </w:p>
    <w:p>
      <w:pPr>
        <w:numPr>
          <w:ilvl w:val="0"/>
          <w:numId w:val="1003"/>
        </w:numPr>
        <w:pStyle w:val="Compact"/>
      </w:pPr>
      <w:r>
        <w:t xml:space="preserve">The concept of scale in GEE, which refers to both the volume of analysis and pixel resolution</w:t>
      </w:r>
    </w:p>
    <w:p>
      <w:pPr>
        <w:numPr>
          <w:ilvl w:val="0"/>
          <w:numId w:val="1003"/>
        </w:numPr>
        <w:pStyle w:val="Compact"/>
      </w:pPr>
      <w:r>
        <w:t xml:space="preserve">How GEE aggregates the image to fit a 256x256 grid.</w:t>
      </w:r>
    </w:p>
    <w:p>
      <w:pPr>
        <w:pStyle w:val="FirstParagraph"/>
      </w:pPr>
      <w:r>
        <w:t xml:space="preserve">Objects and methods in GEE are introduced:</w:t>
      </w:r>
    </w:p>
    <w:p>
      <w:pPr>
        <w:numPr>
          <w:ilvl w:val="0"/>
          <w:numId w:val="1004"/>
        </w:numPr>
        <w:pStyle w:val="Compact"/>
      </w:pPr>
      <w:r>
        <w:t xml:space="preserve">E.g. geometries, features, feature collections, and</w:t>
      </w:r>
    </w:p>
    <w:p>
      <w:pPr>
        <w:numPr>
          <w:ilvl w:val="0"/>
          <w:numId w:val="1004"/>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68" w:name="summary-3"/>
    <w:p>
      <w:pPr>
        <w:pStyle w:val="Heading2"/>
      </w:pPr>
      <w:r>
        <w:t xml:space="preserve">5.1 Summary</w:t>
      </w:r>
    </w:p>
    <w:bookmarkStart w:id="64" w:name="gee-basics"/>
    <w:p>
      <w:pPr>
        <w:pStyle w:val="Heading3"/>
      </w:pPr>
      <w:r>
        <w:t xml:space="preserve">5.1.1 GEE Basics</w:t>
      </w:r>
    </w:p>
    <w:p>
      <w:pPr>
        <w:pStyle w:val="FirstParagraph"/>
      </w:pPr>
      <w:r>
        <w:t xml:space="preserve">JavaScript, where objects are dictionaries:</w:t>
      </w:r>
    </w:p>
    <w:p>
      <w:pPr>
        <w:numPr>
          <w:ilvl w:val="0"/>
          <w:numId w:val="1005"/>
        </w:numPr>
        <w:pStyle w:val="Compact"/>
      </w:pPr>
      <w:r>
        <w:t xml:space="preserve">We have ee (EarthEngine), a powerful package. Anything starting with ee (proxy objects) are stored on the server.</w:t>
      </w:r>
    </w:p>
    <w:p>
      <w:pPr>
        <w:numPr>
          <w:ilvl w:val="0"/>
          <w:numId w:val="1005"/>
        </w:numPr>
        <w:pStyle w:val="Compact"/>
      </w:pPr>
      <w:r>
        <w:t xml:space="preserve">Problems:</w:t>
      </w:r>
    </w:p>
    <w:p>
      <w:pPr>
        <w:numPr>
          <w:ilvl w:val="1"/>
          <w:numId w:val="1006"/>
        </w:numPr>
        <w:pStyle w:val="Compact"/>
      </w:pPr>
      <w:r>
        <w:t xml:space="preserve">We don’t iterate the data on the server; instead, we map (using a mapping function) them into objects (variables) so we only load them once.</w:t>
      </w:r>
    </w:p>
    <w:p>
      <w:pPr>
        <w:numPr>
          <w:ilvl w:val="1"/>
          <w:numId w:val="1006"/>
        </w:numPr>
        <w:pStyle w:val="Compact"/>
      </w:pPr>
      <w:r>
        <w:t xml:space="preserve">There are also some sort of server-wide functions.</w:t>
      </w:r>
    </w:p>
    <w:p>
      <w:pPr>
        <w:numPr>
          <w:ilvl w:val="1"/>
          <w:numId w:val="1006"/>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07"/>
        </w:numPr>
        <w:pStyle w:val="Compact"/>
      </w:pPr>
      <w:r>
        <w:t xml:space="preserve">Pixel resolution, set by the output.</w:t>
      </w:r>
    </w:p>
    <w:p>
      <w:pPr>
        <w:numPr>
          <w:ilvl w:val="0"/>
          <w:numId w:val="1007"/>
        </w:numPr>
        <w:pStyle w:val="Compact"/>
      </w:pPr>
      <w:r>
        <w:t xml:space="preserve">GEE does resampling, aggregating your input to a 256*256, mainly down-sampling.</w:t>
      </w:r>
    </w:p>
    <w:p>
      <w:pPr>
        <w:pStyle w:val="FirstParagraph"/>
      </w:pPr>
      <w:r>
        <w:t xml:space="preserve">Table 1: Terms and Jargon Related to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Proxy objects</w:t>
            </w:r>
          </w:p>
        </w:tc>
        <w:tc>
          <w:tcPr/>
          <w:p>
            <w:pPr>
              <w:pStyle w:val="Compact"/>
              <w:jc w:val="left"/>
            </w:pPr>
            <w:r>
              <w:t xml:space="preserve">GEE objects that are stored on the server and have no data in the script.</w:t>
            </w:r>
          </w:p>
        </w:tc>
      </w:tr>
    </w:tbl>
    <w:p>
      <w:pPr>
        <w:pStyle w:val="BodyText"/>
      </w:pPr>
      <w:r>
        <w:t xml:space="preserve">Table 2: Differences between Client and Server Side in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Aspect</w:t>
            </w:r>
          </w:p>
        </w:tc>
        <w:tc>
          <w:tcPr/>
          <w:p>
            <w:pPr>
              <w:pStyle w:val="Compact"/>
              <w:jc w:val="left"/>
            </w:pPr>
            <w:r>
              <w:t xml:space="preserve">Definition</w:t>
            </w:r>
          </w:p>
        </w:tc>
      </w:tr>
      <w:tr>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r>
        <w:tc>
          <w:tcPr/>
          <w:p>
            <w:pPr>
              <w:pStyle w:val="Compact"/>
              <w:jc w:val="left"/>
            </w:pPr>
            <w:r>
              <w:t xml:space="preserve">Scale</w:t>
            </w:r>
          </w:p>
        </w:tc>
        <w:tc>
          <w:tcPr/>
          <w:p>
            <w:pPr>
              <w:pStyle w:val="Compact"/>
              <w:jc w:val="left"/>
            </w:pPr>
            <w:r>
              <w:t xml:space="preserve">Scale refers to pixel resolution in GEE. The scale is set by the output, not the input, and Earth Engine selects the pyramid with the closest scale to analysis.</w:t>
            </w:r>
          </w:p>
        </w:tc>
      </w:tr>
    </w:tbl>
    <w:bookmarkEnd w:id="64"/>
    <w:bookmarkStart w:id="65" w:name="gee-objects"/>
    <w:p>
      <w:pPr>
        <w:pStyle w:val="Heading3"/>
      </w:pPr>
      <w:r>
        <w:t xml:space="preserve">5.1.2 GEE Objects</w:t>
      </w:r>
    </w:p>
    <w:p>
      <w:pPr>
        <w:pStyle w:val="FirstParagraph"/>
      </w:pPr>
      <w:r>
        <w:t xml:space="preserve">Objects:</w:t>
      </w:r>
    </w:p>
    <w:p>
      <w:pPr>
        <w:numPr>
          <w:ilvl w:val="0"/>
          <w:numId w:val="1008"/>
        </w:numPr>
        <w:pStyle w:val="Compact"/>
      </w:pPr>
      <w:r>
        <w:t xml:space="preserve">Images (Rasters), geometry, ImageCol, features, featureCol, joins, arrays, chart.</w:t>
      </w:r>
    </w:p>
    <w:p>
      <w:pPr>
        <w:pStyle w:val="FirstParagraph"/>
      </w:pPr>
      <w:r>
        <w:t xml:space="preserve">Table 3: Geometry Types and Features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Type of Geometry</w:t>
            </w:r>
          </w:p>
        </w:tc>
        <w:tc>
          <w:tcPr/>
          <w:p>
            <w:pPr>
              <w:pStyle w:val="Compact"/>
              <w:jc w:val="left"/>
            </w:pPr>
            <w:r>
              <w:t xml:space="preserve">Description</w:t>
            </w:r>
          </w:p>
        </w:tc>
      </w:tr>
      <w:tr>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MultiGeometry</w:t>
            </w:r>
          </w:p>
        </w:tc>
        <w:tc>
          <w:tcPr/>
          <w:p>
            <w:pPr>
              <w:pStyle w:val="Compact"/>
              <w:jc w:val="left"/>
            </w:pPr>
            <w:r>
              <w:t xml:space="preserve">A collection of different types of geometries</w:t>
            </w:r>
          </w:p>
        </w:tc>
      </w:tr>
    </w:tbl>
    <w:bookmarkEnd w:id="65"/>
    <w:bookmarkStart w:id="66" w:name="gee-processes-and-applicationsoutputs"/>
    <w:p>
      <w:pPr>
        <w:pStyle w:val="Heading3"/>
      </w:pPr>
      <w:r>
        <w:t xml:space="preserve">5.1.3 GEE Processes and Applications/Outputs</w:t>
      </w:r>
    </w:p>
    <w:p>
      <w:pPr>
        <w:pStyle w:val="FirstParagraph"/>
      </w:pPr>
      <w:r>
        <w:t xml:space="preserve">GEE applications:</w:t>
      </w:r>
    </w:p>
    <w:p>
      <w:pPr>
        <w:numPr>
          <w:ilvl w:val="0"/>
          <w:numId w:val="1009"/>
        </w:numPr>
        <w:pStyle w:val="Compact"/>
      </w:pPr>
      <w:r>
        <w:t xml:space="preserve">Reducing types.</w:t>
      </w:r>
    </w:p>
    <w:p>
      <w:pPr>
        <w:numPr>
          <w:ilvl w:val="0"/>
          <w:numId w:val="1009"/>
        </w:numPr>
        <w:pStyle w:val="Compact"/>
      </w:pPr>
      <w:r>
        <w:t xml:space="preserve">Different to filterBounds() that filters the area of interest, to do zonal statistics, we have reduceRegion(), where regions are subcategories of the area of interest.</w:t>
      </w:r>
    </w:p>
    <w:p>
      <w:pPr>
        <w:numPr>
          <w:ilvl w:val="0"/>
          <w:numId w:val="1009"/>
        </w:numPr>
        <w:pStyle w:val="Compact"/>
      </w:pPr>
      <w:r>
        <w:t xml:space="preserve">Also, we have reduceNeighborhood(), which is a bit like a kind of image enhancement.</w:t>
      </w:r>
    </w:p>
    <w:p>
      <w:pPr>
        <w:pStyle w:val="FirstParagraph"/>
      </w:pPr>
      <w:r>
        <w:t xml:space="preserve">Linear Regressions:</w:t>
      </w:r>
    </w:p>
    <w:p>
      <w:pPr>
        <w:numPr>
          <w:ilvl w:val="0"/>
          <w:numId w:val="1010"/>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10"/>
        </w:numPr>
        <w:pStyle w:val="Compact"/>
      </w:pPr>
      <w:r>
        <w:t xml:space="preserve">Something about constant bound.</w:t>
      </w:r>
    </w:p>
    <w:p>
      <w:pPr>
        <w:pStyle w:val="FirstParagraph"/>
      </w:pPr>
      <w:r>
        <w:t xml:space="preserve">Joins:</w:t>
      </w:r>
    </w:p>
    <w:p>
      <w:pPr>
        <w:numPr>
          <w:ilvl w:val="0"/>
          <w:numId w:val="1011"/>
        </w:numPr>
        <w:pStyle w:val="Compact"/>
      </w:pPr>
      <w:r>
        <w:t xml:space="preserve">In GEE, everything, e.g. within a buffer, intersect, etc. needs the mediation of Join (apply()).</w:t>
      </w:r>
    </w:p>
    <w:p>
      <w:pPr>
        <w:numPr>
          <w:ilvl w:val="0"/>
          <w:numId w:val="1011"/>
        </w:numPr>
        <w:pStyle w:val="Compact"/>
      </w:pPr>
      <w:r>
        <w:t xml:space="preserve">To perform joins, we need to put data into Filter().</w:t>
      </w:r>
    </w:p>
    <w:p>
      <w:pPr>
        <w:pStyle w:val="FirstParagraph"/>
      </w:pPr>
      <w:r>
        <w:t xml:space="preserve">Classifiers:</w:t>
      </w:r>
    </w:p>
    <w:p>
      <w:pPr>
        <w:numPr>
          <w:ilvl w:val="0"/>
          <w:numId w:val="1012"/>
        </w:numPr>
        <w:pStyle w:val="Compact"/>
      </w:pPr>
      <w:r>
        <w:t xml:space="preserve">Per-pixel</w:t>
      </w:r>
    </w:p>
    <w:p>
      <w:pPr>
        <w:numPr>
          <w:ilvl w:val="0"/>
          <w:numId w:val="1012"/>
        </w:numPr>
        <w:pStyle w:val="Compact"/>
      </w:pPr>
      <w:r>
        <w:t xml:space="preserve">sub-pixel</w:t>
      </w:r>
    </w:p>
    <w:p>
      <w:pPr>
        <w:pStyle w:val="FirstParagraph"/>
      </w:pPr>
      <w:r>
        <w:t xml:space="preserve">Table 4: GEE Processes and Applications/Outputs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66"/>
    <w:bookmarkStart w:id="67" w:name="limitations"/>
    <w:p>
      <w:pPr>
        <w:pStyle w:val="Heading3"/>
      </w:pPr>
      <w:r>
        <w:t xml:space="preserve">5.1.4 Limitations</w:t>
      </w:r>
    </w:p>
    <w:p>
      <w:pPr>
        <w:pStyle w:val="FirstParagraph"/>
      </w:pPr>
      <w:r>
        <w:t xml:space="preserve">No support for phase data, needs SNAP.</w:t>
      </w:r>
    </w:p>
    <w:bookmarkEnd w:id="67"/>
    <w:bookmarkEnd w:id="68"/>
    <w:bookmarkStart w:id="69" w:name="application-2"/>
    <w:p>
      <w:pPr>
        <w:pStyle w:val="Heading2"/>
      </w:pPr>
      <w:r>
        <w:t xml:space="preserve">5.2 Application</w:t>
      </w:r>
    </w:p>
    <w:bookmarkEnd w:id="69"/>
    <w:bookmarkStart w:id="70" w:name="reflection-3"/>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is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bookmarkEnd w:id="70"/>
    <w:bookmarkEnd w:id="71"/>
    <w:bookmarkStart w:id="88" w:name="wk6-classification"/>
    <w:p>
      <w:pPr>
        <w:pStyle w:val="Heading1"/>
      </w:pPr>
      <w:r>
        <w:t xml:space="preserve">6. Wk6 Classification</w:t>
      </w:r>
    </w:p>
    <w:bookmarkStart w:id="87" w:name="summary-4"/>
    <w:p>
      <w:pPr>
        <w:pStyle w:val="Heading2"/>
      </w:pPr>
      <w:r>
        <w:t xml:space="preserve">6.1 Summary</w:t>
      </w:r>
    </w:p>
    <w:tbl>
      <w:tblPr>
        <w:tblStyle w:val="Table"/>
        <w:tblW w:type="pct" w:w="5000"/>
        <w:tblLook w:firstRow="1" w:lastRow="0" w:firstColumn="0" w:lastColumn="0" w:noHBand="0" w:noVBand="0" w:val="0020"/>
      </w:tblPr>
      <w:tblGrid>
        <w:gridCol w:w="2033"/>
        <w:gridCol w:w="5886"/>
      </w:tblGrid>
      <w:tr>
        <w:trPr>
          <w:tblHeader w:val="true"/>
        </w:trPr>
        <w:tc>
          <w:tcPr/>
          <w:p>
            <w:pPr>
              <w:pStyle w:val="Compact"/>
              <w:jc w:val="left"/>
            </w:pPr>
            <w:r>
              <w:t xml:space="preserve">Information</w:t>
            </w:r>
          </w:p>
        </w:tc>
        <w:tc>
          <w:tcPr/>
          <w:p>
            <w:pPr>
              <w:pStyle w:val="Compact"/>
              <w:jc w:val="left"/>
            </w:pPr>
            <w:r>
              <w:t xml:space="preserve">Summary</w:t>
            </w:r>
          </w:p>
        </w:tc>
      </w:tr>
      <w:tr>
        <w:tc>
          <w:tcPr/>
          <w:p>
            <w:pPr>
              <w:pStyle w:val="Compact"/>
              <w:jc w:val="left"/>
            </w:pPr>
            <w:r>
              <w:t xml:space="preserve">Purpose of classification</w:t>
            </w:r>
          </w:p>
        </w:tc>
        <w:tc>
          <w:tcPr/>
          <w:p>
            <w:pPr>
              <w:pStyle w:val="Compact"/>
              <w:jc w:val="left"/>
            </w:pPr>
            <w:r>
              <w:t xml:space="preserve">To subset data into classes or values, such as landcover or estimating values like GCSE scores or pollution.</w:t>
            </w:r>
          </w:p>
        </w:tc>
      </w:tr>
      <w:tr>
        <w:tc>
          <w:tcPr/>
          <w:p>
            <w:pPr>
              <w:pStyle w:val="Compact"/>
              <w:jc w:val="left"/>
            </w:pPr>
            <w:r>
              <w:t xml:space="preserve">Different classification methods</w:t>
            </w:r>
          </w:p>
        </w:tc>
        <w:tc>
          <w:tcPr/>
          <w:p>
            <w:pPr>
              <w:pStyle w:val="Compact"/>
              <w:jc w:val="left"/>
            </w:pPr>
            <w:r>
              <w:t xml:space="preserve">Essentially slice the data in different ways.</w:t>
            </w:r>
          </w:p>
        </w:tc>
      </w:tr>
      <w:tr>
        <w:tc>
          <w:tcPr/>
          <w:p>
            <w:pPr>
              <w:pStyle w:val="Compact"/>
              <w:jc w:val="left"/>
            </w:pPr>
            <w:r>
              <w:t xml:space="preserve">Complexity of classification methods</w:t>
            </w:r>
          </w:p>
        </w:tc>
        <w:tc>
          <w:tcPr/>
          <w:p>
            <w:pPr>
              <w:pStyle w:val="Compact"/>
              <w:jc w:val="left"/>
            </w:pPr>
            <w:r>
              <w:t xml:space="preserve">They can often be made to appear more complicated than they are.</w:t>
            </w:r>
          </w:p>
        </w:tc>
      </w:tr>
      <w:tr>
        <w:tc>
          <w:tcPr/>
          <w:p>
            <w:pPr>
              <w:pStyle w:val="Compact"/>
              <w:jc w:val="left"/>
            </w:pPr>
            <w:r>
              <w:t xml:space="preserve">Controlling classifiers</w:t>
            </w:r>
          </w:p>
        </w:tc>
        <w:tc>
          <w:tcPr/>
          <w:p>
            <w:pPr>
              <w:pStyle w:val="Compact"/>
              <w:jc w:val="left"/>
            </w:pPr>
            <w:r>
              <w:t xml:space="preserve">Can be done using hyperparameters.</w:t>
            </w:r>
          </w:p>
        </w:tc>
      </w:tr>
      <w:tr>
        <w:tc>
          <w:tcPr/>
          <w:p>
            <w:pPr>
              <w:pStyle w:val="Compact"/>
              <w:jc w:val="left"/>
            </w:pPr>
            <w:r>
              <w:t xml:space="preserve">Desired outcome of classifiers</w:t>
            </w:r>
          </w:p>
        </w:tc>
        <w:tc>
          <w:tcPr/>
          <w:p>
            <w:pPr>
              <w:pStyle w:val="Compact"/>
              <w:jc w:val="left"/>
            </w:pPr>
            <w:r>
              <w:t xml:space="preserve">Can range from a single tree to a decision hyperplane boundary in multiple dimensions.</w:t>
            </w:r>
          </w:p>
        </w:tc>
      </w:tr>
    </w:tbl>
    <w:bookmarkStart w:id="72" w:name="ml-methods-in-eo-data-classification"/>
    <w:p>
      <w:pPr>
        <w:pStyle w:val="Heading3"/>
      </w:pPr>
      <w:r>
        <w:t xml:space="preserve">6.1.1 ML methods in EO data classification</w:t>
      </w:r>
    </w:p>
    <w:p>
      <w:pPr>
        <w:pStyle w:val="FirstParagraph"/>
      </w:pPr>
      <w:r>
        <w:t xml:space="preserve">Table 1: Supervised Classification Methods</w:t>
      </w:r>
    </w:p>
    <w:tbl>
      <w:tblPr>
        <w:tblStyle w:val="Table"/>
        <w:tblW w:type="pct" w:w="5000"/>
        <w:tblLook w:firstRow="1" w:lastRow="0" w:firstColumn="0" w:lastColumn="0" w:noHBand="0" w:noVBand="0" w:val="0020"/>
      </w:tblPr>
      <w:tblGrid>
        <w:gridCol w:w="1766"/>
        <w:gridCol w:w="6153"/>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Maximum Likelihood</w:t>
            </w:r>
          </w:p>
        </w:tc>
        <w:tc>
          <w:tcPr/>
          <w:p>
            <w:pPr>
              <w:pStyle w:val="Compact"/>
              <w:jc w:val="left"/>
            </w:pPr>
            <w:r>
              <w:t xml:space="preserve">A statistical method used to estimate the parameters of a probability distribution based on observed data.</w:t>
            </w:r>
          </w:p>
        </w:tc>
      </w:tr>
      <w:tr>
        <w:tc>
          <w:tcPr/>
          <w:p>
            <w:pPr>
              <w:pStyle w:val="Compact"/>
              <w:jc w:val="left"/>
            </w:pPr>
            <w:r>
              <w:t xml:space="preserve">Support Vector Machines (SVM)</w:t>
            </w:r>
          </w:p>
        </w:tc>
        <w:tc>
          <w:tcPr/>
          <w:p>
            <w:pPr>
              <w:pStyle w:val="Compact"/>
              <w:jc w:val="left"/>
            </w:pPr>
            <w:r>
              <w:t xml:space="preserve">A supervised learning algorithm that finds the best hyperplane to separate data into different classes.</w:t>
            </w:r>
          </w:p>
        </w:tc>
      </w:tr>
    </w:tbl>
    <w:p>
      <w:pPr>
        <w:pStyle w:val="BodyText"/>
      </w:pPr>
      <w:r>
        <w:t xml:space="preserve">Table 2: Unsupervised Classification Methods</w:t>
      </w:r>
    </w:p>
    <w:tbl>
      <w:tblPr>
        <w:tblStyle w:val="Table"/>
        <w:tblW w:type="pct" w:w="5000"/>
        <w:tblLook w:firstRow="1" w:lastRow="0" w:firstColumn="0" w:lastColumn="0" w:noHBand="0" w:noVBand="0" w:val="0020"/>
      </w:tblPr>
      <w:tblGrid>
        <w:gridCol w:w="1584"/>
        <w:gridCol w:w="6336"/>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Density Slicing</w:t>
            </w:r>
          </w:p>
        </w:tc>
        <w:tc>
          <w:tcPr/>
          <w:p>
            <w:pPr>
              <w:pStyle w:val="Compact"/>
              <w:jc w:val="left"/>
            </w:pPr>
            <w:r>
              <w:t xml:space="preserve">Divides the range of pixel values into equal intervals and assigns each interval a unique class value.</w:t>
            </w:r>
          </w:p>
        </w:tc>
      </w:tr>
      <w:tr>
        <w:tc>
          <w:tcPr/>
          <w:p>
            <w:pPr>
              <w:pStyle w:val="Compact"/>
              <w:jc w:val="left"/>
            </w:pPr>
            <w:r>
              <w:t xml:space="preserve">Parallelpiped</w:t>
            </w:r>
          </w:p>
        </w:tc>
        <w:tc>
          <w:tcPr/>
          <w:p>
            <w:pPr>
              <w:pStyle w:val="Compact"/>
              <w:jc w:val="left"/>
            </w:pPr>
            <w:r>
              <w:t xml:space="preserve">Uses a set of user-defined ranges for each band to define class boundaries in multi-dimensional space.</w:t>
            </w:r>
          </w:p>
        </w:tc>
      </w:tr>
      <w:tr>
        <w:tc>
          <w:tcPr/>
          <w:p>
            <w:pPr>
              <w:pStyle w:val="Compact"/>
              <w:jc w:val="left"/>
            </w:pPr>
            <w:r>
              <w:t xml:space="preserve">Minimum Distance to Mean</w:t>
            </w:r>
          </w:p>
        </w:tc>
        <w:tc>
          <w:tcPr/>
          <w:p>
            <w:pPr>
              <w:pStyle w:val="Compact"/>
              <w:jc w:val="left"/>
            </w:pPr>
            <w:r>
              <w:t xml:space="preserve">Assigns each pixel to the class with the closest mean value in multi-dimensional space.</w:t>
            </w:r>
          </w:p>
        </w:tc>
      </w:tr>
      <w:tr>
        <w:tc>
          <w:tcPr/>
          <w:p>
            <w:pPr>
              <w:pStyle w:val="Compact"/>
              <w:jc w:val="left"/>
            </w:pPr>
            <w:r>
              <w:t xml:space="preserve">Nearest Neighbor</w:t>
            </w:r>
          </w:p>
        </w:tc>
        <w:tc>
          <w:tcPr/>
          <w:p>
            <w:pPr>
              <w:pStyle w:val="Compact"/>
              <w:jc w:val="left"/>
            </w:pPr>
            <w:r>
              <w:t xml:space="preserve">Assigns each pixel to the class of its nearest neighbor in multi-dimensional space.</w:t>
            </w:r>
          </w:p>
        </w:tc>
      </w:tr>
    </w:tbl>
    <w:p>
      <w:pPr>
        <w:pStyle w:val="BodyText"/>
      </w:pPr>
      <w:r>
        <w:t xml:space="preserve">Table 3: Other Machine Learning Methods</w:t>
      </w:r>
    </w:p>
    <w:tbl>
      <w:tblPr>
        <w:tblStyle w:val="Table"/>
        <w:tblW w:type="pct" w:w="5000"/>
        <w:tblLook w:firstRow="1" w:lastRow="0" w:firstColumn="0" w:lastColumn="0" w:noHBand="0" w:noVBand="0" w:val="0020"/>
      </w:tblPr>
      <w:tblGrid>
        <w:gridCol w:w="1530"/>
        <w:gridCol w:w="639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Artificial Neural Networks (ANN)</w:t>
            </w:r>
          </w:p>
        </w:tc>
        <w:tc>
          <w:tcPr/>
          <w:p>
            <w:pPr>
              <w:pStyle w:val="Compact"/>
              <w:jc w:val="left"/>
            </w:pPr>
            <w:r>
              <w:t xml:space="preserve">A set of algorithms inspired by the structure and function of biological neural networks, used for pattern recognition and prediction tasks.</w:t>
            </w:r>
          </w:p>
        </w:tc>
      </w:tr>
    </w:tbl>
    <w:bookmarkEnd w:id="72"/>
    <w:bookmarkStart w:id="73" w:name="X565aa8eb489ce0631bda820fce98408ad2b1496"/>
    <w:p>
      <w:pPr>
        <w:pStyle w:val="Heading3"/>
      </w:pPr>
      <w:r>
        <w:t xml:space="preserve">6.1.2 Pros and cons - Supervised vs. Unsupervised</w:t>
      </w:r>
    </w:p>
    <w:p>
      <w:pPr>
        <w:pStyle w:val="FirstParagraph"/>
      </w:pPr>
      <w:r>
        <w:t xml:space="preserve">Table 1: Supervised vs. Unsupervised Classification</w:t>
      </w:r>
    </w:p>
    <w:tbl>
      <w:tblPr>
        <w:tblStyle w:val="Table"/>
        <w:tblW w:type="pct" w:w="5000"/>
        <w:tblLook w:firstRow="1" w:lastRow="0" w:firstColumn="0" w:lastColumn="0" w:noHBand="0" w:noVBand="0" w:val="0020"/>
      </w:tblPr>
      <w:tblGrid>
        <w:gridCol w:w="408"/>
        <w:gridCol w:w="4981"/>
        <w:gridCol w:w="2529"/>
      </w:tblGrid>
      <w:tr>
        <w:trPr>
          <w:tblHeader w:val="true"/>
        </w:trPr>
        <w:tc>
          <w:tcPr/>
          <w:p>
            <w:pPr>
              <w:pStyle w:val="Compact"/>
              <w:jc w:val="left"/>
            </w:pPr>
            <w:r>
              <w:t xml:space="preserve">Classification Type</w:t>
            </w:r>
          </w:p>
        </w:tc>
        <w:tc>
          <w:tcPr/>
          <w:p>
            <w:pPr>
              <w:pStyle w:val="Compact"/>
              <w:jc w:val="left"/>
            </w:pPr>
            <w:r>
              <w:t xml:space="preserve">Definition</w:t>
            </w:r>
          </w:p>
        </w:tc>
        <w:tc>
          <w:tcPr/>
          <w:p>
            <w:pPr>
              <w:pStyle w:val="Compact"/>
              <w:jc w:val="left"/>
            </w:pPr>
            <w:r>
              <w:t xml:space="preserve">Method</w:t>
            </w:r>
          </w:p>
        </w:tc>
      </w:tr>
      <w:tr>
        <w:tc>
          <w:tcPr/>
          <w:p>
            <w:pPr>
              <w:pStyle w:val="Compact"/>
              <w:jc w:val="left"/>
            </w:pPr>
            <w:r>
              <w:t xml:space="preserve">Supervised</w:t>
            </w:r>
          </w:p>
        </w:tc>
        <w:tc>
          <w:tcPr/>
          <w:p>
            <w:pPr>
              <w:pStyle w:val="Compact"/>
              <w:jc w:val="left"/>
            </w:pPr>
            <w:r>
              <w:t xml:space="preserve">Classifier learns patterns in the data and uses that to place labels onto new data. Pattern vector is used to classify the image. Usually, pixels are treated in isolation but as we have seen - contextual (neighboring pixels), objects (polygons), texture.</w:t>
            </w:r>
          </w:p>
        </w:tc>
        <w:tc>
          <w:tcPr/>
          <w:p>
            <w:pPr>
              <w:pStyle w:val="Compact"/>
              <w:jc w:val="left"/>
            </w:pPr>
            <w:r>
              <w:t xml:space="preserve">Pattern recognition or machine learning</w:t>
            </w:r>
          </w:p>
        </w:tc>
      </w:tr>
      <w:tr>
        <w:tc>
          <w:tcPr/>
          <w:p>
            <w:pPr>
              <w:pStyle w:val="Compact"/>
              <w:jc w:val="left"/>
            </w:pPr>
            <w:r>
              <w:t xml:space="preserve">Unsupervised</w:t>
            </w:r>
          </w:p>
        </w:tc>
        <w:tc>
          <w:tcPr/>
          <w:p>
            <w:pPr>
              <w:pStyle w:val="Compact"/>
              <w:jc w:val="left"/>
            </w:pPr>
            <w:r>
              <w:t xml:space="preserve">Identifies land cover classes that aren’t known a priori (before) and tells the computer to cluster based on info it has (e.g. bands) and label the clusters.</w:t>
            </w:r>
          </w:p>
        </w:tc>
        <w:tc>
          <w:tcPr/>
          <w:p>
            <w:pPr>
              <w:pStyle w:val="Compact"/>
              <w:jc w:val="left"/>
            </w:pPr>
            <w:r>
              <w:t xml:space="preserve">Density slicing, parallelpiped, minimum distance to mean, nearest neighbor, neural networks, machine learning / expert systems*</w:t>
            </w:r>
          </w:p>
        </w:tc>
      </w:tr>
    </w:tbl>
    <w:bookmarkEnd w:id="73"/>
    <w:bookmarkStart w:id="82" w:name="overfitting"/>
    <w:p>
      <w:pPr>
        <w:pStyle w:val="Heading3"/>
      </w:pPr>
      <w:r>
        <w:t xml:space="preserve">6.1.3 Overfitting</w:t>
      </w:r>
    </w:p>
    <w:p>
      <w:pPr>
        <w:numPr>
          <w:ilvl w:val="0"/>
          <w:numId w:val="1013"/>
        </w:numPr>
        <w:pStyle w:val="Compact"/>
      </w:pPr>
      <w:r>
        <w:t xml:space="preserve">Bias refers to the difference between the predicted value and the true value. When a model has high bias, it is too simple and may underfit the data. On the other hand, when a model has low bias, it may overfit the data.</w:t>
      </w:r>
    </w:p>
    <w:p>
      <w:pPr>
        <w:numPr>
          <w:ilvl w:val="0"/>
          <w:numId w:val="1013"/>
        </w:numPr>
        <w:pStyle w:val="Compact"/>
      </w:pPr>
      <w:r>
        <w:t xml:space="preserve">Variance, on the other hand, refers to the variability of a model for a given point. When a model has high variance, it is too complex and may overfit the data. This means that it will perform well on the training data but poorly on new data.</w:t>
      </w:r>
    </w:p>
    <w:tbl>
      <w:tblPr>
        <w:tblStyle w:val="Table"/>
        <w:tblW w:type="pct" w:w="5000"/>
        <w:tblLook w:firstRow="0" w:lastRow="0" w:firstColumn="0" w:lastColumn="0" w:noHBand="0" w:noVBand="0" w:val="0000"/>
      </w:tblPr>
      <w:tblGrid>
        <w:gridCol w:w="7920"/>
      </w:tblGrid>
      <w:tr>
        <w:tc>
          <w:tcPr/>
          <w:bookmarkStart w:id="77" w:name="fig-BiasVar01"/>
          <w:p>
            <w:pPr>
              <w:pStyle w:val="Figure"/>
              <w:jc w:val="center"/>
            </w:pPr>
            <w:r>
              <w:drawing>
                <wp:inline>
                  <wp:extent cx="5334000" cy="4342758"/>
                  <wp:effectExtent b="0" l="0" r="0" t="0"/>
                  <wp:docPr descr="" title="" id="75" name="Picture"/>
                  <a:graphic>
                    <a:graphicData uri="http://schemas.openxmlformats.org/drawingml/2006/picture">
                      <pic:pic>
                        <pic:nvPicPr>
                          <pic:cNvPr descr="./images/Bias-variance-01.png" id="76" name="Picture"/>
                          <pic:cNvPicPr>
                            <a:picLocks noChangeArrowheads="1" noChangeAspect="1"/>
                          </pic:cNvPicPr>
                        </pic:nvPicPr>
                        <pic:blipFill>
                          <a:blip r:embed="rId74"/>
                          <a:stretch>
                            <a:fillRect/>
                          </a:stretch>
                        </pic:blipFill>
                        <pic:spPr bwMode="auto">
                          <a:xfrm>
                            <a:off x="0" y="0"/>
                            <a:ext cx="5334000" cy="4342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Credit: CASA0006</w:t>
            </w:r>
          </w:p>
          <w:bookmarkEnd w:id="77"/>
        </w:tc>
      </w:tr>
    </w:tbl>
    <w:p>
      <w:pPr>
        <w:pStyle w:val="BodyText"/>
      </w:pPr>
      <w:r>
        <w:t xml:space="preserve">In general, overfitting occurs when there is a trade-off between bias and variance. A model with high bias and low variance will underfit the data, while a model with low bias and high variance will overfit the data. The goal is to find a balance between bias and variance that results in good performance on both training and test data.</w:t>
      </w:r>
    </w:p>
    <w:tbl>
      <w:tblPr>
        <w:tblStyle w:val="Table"/>
        <w:tblW w:type="pct" w:w="5000"/>
        <w:tblLook w:firstRow="0" w:lastRow="0" w:firstColumn="0" w:lastColumn="0" w:noHBand="0" w:noVBand="0" w:val="0000"/>
      </w:tblPr>
      <w:tblGrid>
        <w:gridCol w:w="7920"/>
      </w:tblGrid>
      <w:tr>
        <w:tc>
          <w:tcPr/>
          <w:bookmarkStart w:id="81" w:name="fig-BiasVar02"/>
          <w:p>
            <w:pPr>
              <w:pStyle w:val="Figure"/>
              <w:jc w:val="center"/>
            </w:pPr>
            <w:r>
              <w:drawing>
                <wp:inline>
                  <wp:extent cx="5334000" cy="2037843"/>
                  <wp:effectExtent b="0" l="0" r="0" t="0"/>
                  <wp:docPr descr="" title="" id="79" name="Picture"/>
                  <a:graphic>
                    <a:graphicData uri="http://schemas.openxmlformats.org/drawingml/2006/picture">
                      <pic:pic>
                        <pic:nvPicPr>
                          <pic:cNvPr descr="./images/Bias-variance-02.png" id="80" name="Picture"/>
                          <pic:cNvPicPr>
                            <a:picLocks noChangeArrowheads="1" noChangeAspect="1"/>
                          </pic:cNvPicPr>
                        </pic:nvPicPr>
                        <pic:blipFill>
                          <a:blip r:embed="rId78"/>
                          <a:stretch>
                            <a:fillRect/>
                          </a:stretch>
                        </pic:blipFill>
                        <pic:spPr bwMode="auto">
                          <a:xfrm>
                            <a:off x="0" y="0"/>
                            <a:ext cx="5334000" cy="2037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 CASA0006</w:t>
            </w:r>
          </w:p>
          <w:bookmarkEnd w:id="81"/>
        </w:tc>
      </w:tr>
    </w:tbl>
    <w:bookmarkEnd w:id="82"/>
    <w:bookmarkStart w:id="86" w:name="Xf20c740d0db1c79dae67268940fffd72087c6d5"/>
    <w:p>
      <w:pPr>
        <w:pStyle w:val="Heading3"/>
      </w:pPr>
      <w:r>
        <w:t xml:space="preserve">6.1.4 Outlook on the development of EO data Classification</w:t>
      </w:r>
    </w:p>
    <w:p>
      <w:pPr>
        <w:pStyle w:val="FirstParagraph"/>
      </w:pPr>
      <w:r>
        <w:t xml:space="preserve">Earth Observation (EO) data classification is continually evolving, with new technologies and techniques leading to several anticipated future developments:</w:t>
      </w:r>
    </w:p>
    <w:p>
      <w:pPr>
        <w:numPr>
          <w:ilvl w:val="0"/>
          <w:numId w:val="1014"/>
        </w:numPr>
        <w:pStyle w:val="Compact"/>
      </w:pPr>
      <w:r>
        <w:t xml:space="preserve">Multi-source data fusion:</w:t>
      </w:r>
    </w:p>
    <w:p>
      <w:pPr>
        <w:numPr>
          <w:ilvl w:val="1"/>
          <w:numId w:val="1015"/>
        </w:numPr>
        <w:pStyle w:val="Compact"/>
      </w:pPr>
      <w:r>
        <w:t xml:space="preserve">Integrating data from multiple sources like satellite imagery, LiDAR, and ground-based sensors will become more prevalent. This fusion enhances classification accuracy and offers comprehensive Earth’s surface information, improving decision-making and monitoring. For example, the European Union’s</w:t>
      </w:r>
      <w:r>
        <w:t xml:space="preserve"> </w:t>
      </w:r>
      <w:hyperlink r:id="rId83">
        <w:r>
          <w:rPr>
            <w:rStyle w:val="Hyperlink"/>
            <w:bCs/>
            <w:b/>
          </w:rPr>
          <w:t xml:space="preserve">Copernicus Programme</w:t>
        </w:r>
      </w:hyperlink>
      <w:r>
        <w:t xml:space="preserve"> </w:t>
      </w:r>
      <w:r>
        <w:t xml:space="preserve">could use this in providing free data from various satellite missions and sensors for environmental monitoring, disaster management, and urban planning.</w:t>
      </w:r>
    </w:p>
    <w:p>
      <w:pPr>
        <w:numPr>
          <w:ilvl w:val="0"/>
          <w:numId w:val="1014"/>
        </w:numPr>
        <w:pStyle w:val="Compact"/>
      </w:pPr>
      <w:r>
        <w:t xml:space="preserve">Multi-temporal analysis:</w:t>
      </w:r>
    </w:p>
    <w:p>
      <w:pPr>
        <w:numPr>
          <w:ilvl w:val="1"/>
          <w:numId w:val="1016"/>
        </w:numPr>
        <w:pStyle w:val="Compact"/>
      </w:pPr>
      <w:r>
        <w:t xml:space="preserve">Sophisticated multi-temporal analysis techniques will be increasingly used to monitor changes in land cover, vegetation, and other features over time. This enables accurate and efficient change detection and monitoring of phenomena like urbanization, deforestation, and climate change. This aligns with the</w:t>
      </w:r>
      <w:r>
        <w:t xml:space="preserve"> </w:t>
      </w:r>
      <w:hyperlink r:id="rId84">
        <w:r>
          <w:rPr>
            <w:rStyle w:val="Hyperlink"/>
            <w:bCs/>
            <w:b/>
          </w:rPr>
          <w:t xml:space="preserve">REDD+</w:t>
        </w:r>
      </w:hyperlink>
      <w:r>
        <w:t xml:space="preserve"> </w:t>
      </w:r>
      <w:r>
        <w:t xml:space="preserve">initiative under the United Nations Framework Convention on Climate Change (UNFCCC), which uses multi-temporal analysis to monitor forest cover changes and evaluate policy effectiveness in reducing greenhouse gas emissions from deforestation and forest degradation.</w:t>
      </w:r>
    </w:p>
    <w:p>
      <w:pPr>
        <w:numPr>
          <w:ilvl w:val="0"/>
          <w:numId w:val="1014"/>
        </w:numPr>
        <w:pStyle w:val="Compact"/>
      </w:pPr>
      <w:r>
        <w:t xml:space="preserve">Cloud-based processing:</w:t>
      </w:r>
    </w:p>
    <w:p>
      <w:pPr>
        <w:numPr>
          <w:ilvl w:val="1"/>
          <w:numId w:val="1017"/>
        </w:numPr>
        <w:pStyle w:val="Compact"/>
      </w:pPr>
      <w:r>
        <w:t xml:space="preserve">The growth of cloud-based platforms, such as Google Earth Engine, allows for more efficient and scalable EO data processing workflows. This accessibility enables researchers and organizations to innovate in classification techniques and applications. The National Oceanic and Atmospheric Administration’s (NOAA)</w:t>
      </w:r>
      <w:r>
        <w:t xml:space="preserve"> </w:t>
      </w:r>
      <w:hyperlink r:id="rId85">
        <w:r>
          <w:rPr>
            <w:rStyle w:val="Hyperlink"/>
            <w:bCs/>
            <w:b/>
          </w:rPr>
          <w:t xml:space="preserve">Big Data Project</w:t>
        </w:r>
      </w:hyperlink>
      <w:r>
        <w:t xml:space="preserve"> </w:t>
      </w:r>
      <w:r>
        <w:t xml:space="preserve">aims to make vast amounts of environmental data accessible and usable in the cloud, fostering innovation in developing new applications and services.</w:t>
      </w:r>
    </w:p>
    <w:p>
      <w:pPr>
        <w:pStyle w:val="FirstParagraph"/>
      </w:pPr>
      <w:r>
        <w:t xml:space="preserve">These advancements will provide comprehensive and timely information about Earth’s surface, informing policies and strategies in areas such as environmental management, disaster response, and urban planning.</w:t>
      </w:r>
    </w:p>
    <w:bookmarkEnd w:id="86"/>
    <w:bookmarkEnd w:id="87"/>
    <w:bookmarkEnd w:id="88"/>
    <w:bookmarkStart w:id="109"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106" w:name="summary-5"/>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92" w:name="fig-mindmap"/>
      <w:r>
        <w:drawing>
          <wp:inline>
            <wp:extent cx="5334000" cy="3588373"/>
            <wp:effectExtent b="0" l="0" r="0" t="0"/>
            <wp:docPr descr="Classification in Remote Sensing" title="" id="90" name="Picture"/>
            <a:graphic>
              <a:graphicData uri="http://schemas.openxmlformats.org/drawingml/2006/picture">
                <pic:pic>
                  <pic:nvPicPr>
                    <pic:cNvPr descr="./images/MindMap.png" id="91" name="Picture"/>
                    <pic:cNvPicPr>
                      <a:picLocks noChangeArrowheads="1" noChangeAspect="1"/>
                    </pic:cNvPicPr>
                  </pic:nvPicPr>
                  <pic:blipFill>
                    <a:blip r:embed="rId89"/>
                    <a:stretch>
                      <a:fillRect/>
                    </a:stretch>
                  </pic:blipFill>
                  <pic:spPr bwMode="auto">
                    <a:xfrm>
                      <a:off x="0" y="0"/>
                      <a:ext cx="5334000" cy="3588373"/>
                    </a:xfrm>
                    <a:prstGeom prst="rect">
                      <a:avLst/>
                    </a:prstGeom>
                    <a:noFill/>
                    <a:ln w="9525">
                      <a:noFill/>
                      <a:headEnd/>
                      <a:tailEnd/>
                    </a:ln>
                  </pic:spPr>
                </pic:pic>
              </a:graphicData>
            </a:graphic>
          </wp:inline>
        </w:drawing>
      </w:r>
      <w:bookmarkEnd w:id="92"/>
    </w:p>
    <w:bookmarkStart w:id="93" w:name="data"/>
    <w:p>
      <w:pPr>
        <w:pStyle w:val="Heading3"/>
      </w:pPr>
      <w:r>
        <w:t xml:space="preserve">7.1.1 Data</w:t>
      </w:r>
    </w:p>
    <w:p>
      <w:pPr>
        <w:numPr>
          <w:ilvl w:val="0"/>
          <w:numId w:val="1018"/>
        </w:numPr>
      </w:pPr>
      <w:r>
        <w:t xml:space="preserve">Surface Reflectance (SR)</w:t>
      </w:r>
    </w:p>
    <w:p>
      <w:pPr>
        <w:numPr>
          <w:ilvl w:val="0"/>
          <w:numId w:val="1018"/>
        </w:numPr>
      </w:pPr>
      <w:r>
        <w:t xml:space="preserve">Top of Atmosphere (TOA)</w:t>
      </w:r>
    </w:p>
    <w:p>
      <w:pPr>
        <w:pStyle w:val="FirstParagraph"/>
      </w:pPr>
      <w:r>
        <w:t xml:space="preserve">A mixed way of doing urban recognition</w:t>
      </w:r>
    </w:p>
    <w:bookmarkEnd w:id="93"/>
    <w:bookmarkStart w:id="94"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94"/>
    <w:bookmarkStart w:id="96"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95"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95"/>
    <w:bookmarkEnd w:id="96"/>
    <w:bookmarkStart w:id="97" w:name="accuracy-assessment"/>
    <w:p>
      <w:pPr>
        <w:pStyle w:val="Heading3"/>
      </w:pPr>
      <w:r>
        <w:t xml:space="preserve">7.1.4 Accuracy assessment</w:t>
      </w:r>
    </w:p>
    <w:p>
      <w:pPr>
        <w:numPr>
          <w:ilvl w:val="0"/>
          <w:numId w:val="1019"/>
        </w:numPr>
      </w:pPr>
      <w:r>
        <w:t xml:space="preserve">Producer accuracy: Recall</w:t>
      </w:r>
    </w:p>
    <w:p>
      <w:pPr>
        <w:numPr>
          <w:ilvl w:val="0"/>
          <w:numId w:val="1019"/>
        </w:numPr>
      </w:pPr>
      <w:r>
        <w:t xml:space="preserve">User’s accuracy: Precision</w:t>
      </w:r>
    </w:p>
    <w:p>
      <w:pPr>
        <w:numPr>
          <w:ilvl w:val="0"/>
          <w:numId w:val="1019"/>
        </w:numPr>
      </w:pPr>
      <w:r>
        <w:t xml:space="preserve">Overall accuracy: not equivalent to F1</w:t>
      </w:r>
    </w:p>
    <w:p>
      <w:pPr>
        <w:numPr>
          <w:ilvl w:val="0"/>
          <w:numId w:val="1019"/>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20"/>
        </w:numPr>
      </w:pPr>
      <w:r>
        <w:t xml:space="preserve">F1: issue: TN not considered; Recall and precision are not equally important yet equally weighted in F1</w:t>
      </w:r>
    </w:p>
    <w:p>
      <w:pPr>
        <w:numPr>
          <w:ilvl w:val="0"/>
          <w:numId w:val="1020"/>
        </w:numPr>
      </w:pPr>
      <w:r>
        <w:t xml:space="preserve">Receiver Operating Characteristic Curve: True positive rate and false positive rate are all good. We want to maximise the area under the curve in a True positive rate vs false positive rate plot.</w:t>
      </w:r>
    </w:p>
    <w:bookmarkEnd w:id="97"/>
    <w:bookmarkStart w:id="102" w:name="workflow"/>
    <w:p>
      <w:pPr>
        <w:pStyle w:val="Heading3"/>
      </w:pPr>
      <w:r>
        <w:t xml:space="preserve">7.1.5 Workflow</w:t>
      </w:r>
    </w:p>
    <w:p>
      <w:pPr>
        <w:numPr>
          <w:ilvl w:val="0"/>
          <w:numId w:val="1021"/>
        </w:numPr>
      </w:pPr>
      <w:r>
        <w:t xml:space="preserve">(Potentially use unsupervised classification to understand your data</w:t>
      </w:r>
    </w:p>
    <w:p>
      <w:pPr>
        <w:numPr>
          <w:ilvl w:val="0"/>
          <w:numId w:val="1021"/>
        </w:numPr>
      </w:pPr>
      <w:r>
        <w:t xml:space="preserve">Class definition (Potentially use unsupervised classification)</w:t>
      </w:r>
    </w:p>
    <w:p>
      <w:pPr>
        <w:numPr>
          <w:ilvl w:val="0"/>
          <w:numId w:val="1021"/>
        </w:numPr>
      </w:pPr>
      <w:r>
        <w:t xml:space="preserve">Preprocessing</w:t>
      </w:r>
    </w:p>
    <w:p>
      <w:pPr>
        <w:numPr>
          <w:ilvl w:val="0"/>
          <w:numId w:val="1021"/>
        </w:numPr>
      </w:pPr>
      <w:r>
        <w:t xml:space="preserve">Training</w:t>
      </w:r>
    </w:p>
    <w:p>
      <w:pPr>
        <w:numPr>
          <w:ilvl w:val="0"/>
          <w:numId w:val="1021"/>
        </w:numPr>
      </w:pPr>
      <w:r>
        <w:t xml:space="preserve">Pixel Assignment</w:t>
      </w:r>
    </w:p>
    <w:p>
      <w:pPr>
        <w:numPr>
          <w:ilvl w:val="0"/>
          <w:numId w:val="1021"/>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101" w:name="fig-flowchart"/>
          <w:p>
            <w:pPr>
              <w:pStyle w:val="Figure"/>
              <w:jc w:val="center"/>
            </w:pPr>
            <w:r>
              <w:drawing>
                <wp:inline>
                  <wp:extent cx="5334000" cy="9684734"/>
                  <wp:effectExtent b="0" l="0" r="0" t="0"/>
                  <wp:docPr descr="" title="" id="99" name="Picture"/>
                  <a:graphic>
                    <a:graphicData uri="http://schemas.openxmlformats.org/drawingml/2006/picture">
                      <pic:pic>
                        <pic:nvPicPr>
                          <pic:cNvPr descr="./images/FlowChart.png" id="100" name="Picture"/>
                          <pic:cNvPicPr>
                            <a:picLocks noChangeArrowheads="1" noChangeAspect="1"/>
                          </pic:cNvPicPr>
                        </pic:nvPicPr>
                        <pic:blipFill>
                          <a:blip r:embed="rId98"/>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101"/>
        </w:tc>
      </w:tr>
    </w:tbl>
    <w:bookmarkEnd w:id="102"/>
    <w:bookmarkStart w:id="104"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103"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103"/>
    <w:bookmarkEnd w:id="104"/>
    <w:bookmarkStart w:id="105"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105"/>
    <w:bookmarkEnd w:id="106"/>
    <w:bookmarkStart w:id="107"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107"/>
    <w:bookmarkStart w:id="108" w:name="reflection-4"/>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108"/>
    <w:bookmarkEnd w:id="109"/>
    <w:bookmarkStart w:id="110" w:name="section"/>
    <w:p>
      <w:pPr>
        <w:pStyle w:val="Heading1"/>
      </w:pPr>
      <w:r>
        <w:t xml:space="preserve">8. </w:t>
      </w:r>
    </w:p>
    <w:bookmarkEnd w:id="110"/>
    <w:bookmarkStart w:id="127" w:name="week8---temperature-and-policy"/>
    <w:p>
      <w:pPr>
        <w:pStyle w:val="Heading1"/>
      </w:pPr>
      <w:r>
        <w:t xml:space="preserve">9. Week8 - Temperature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17" w:name="summary-6"/>
    <w:p>
      <w:pPr>
        <w:pStyle w:val="Heading2"/>
      </w:pPr>
      <w:r>
        <w:t xml:space="preserve">9.1 Summary</w:t>
      </w:r>
    </w:p>
    <w:bookmarkStart w:id="116" w:name="Xf1601bdf9a6da49f4bf579e5c88a25b27663356"/>
    <w:p>
      <w:pPr>
        <w:pStyle w:val="Heading3"/>
      </w:pPr>
      <w:r>
        <w:t xml:space="preserve">9.1.1 Urban Heating Islands (UHI) problem and plans</w:t>
      </w:r>
    </w:p>
    <w:bookmarkStart w:id="111" w:name="causes"/>
    <w:p>
      <w:pPr>
        <w:pStyle w:val="Heading4"/>
      </w:pPr>
      <w:r>
        <w:t xml:space="preserve">9.1.1.1 Causes</w:t>
      </w:r>
    </w:p>
    <w:p>
      <w:pPr>
        <w:pStyle w:val="FirstParagraph"/>
      </w:pPr>
      <w:r>
        <w:t xml:space="preserve">Urban areas have comparatively higher atmospheric and surface temperatures than surrounding rural areas, mainly due to</w:t>
      </w:r>
    </w:p>
    <w:p>
      <w:pPr>
        <w:numPr>
          <w:ilvl w:val="0"/>
          <w:numId w:val="1022"/>
        </w:numPr>
        <w:pStyle w:val="Compact"/>
      </w:pPr>
      <w:r>
        <w:t xml:space="preserve">More dark surfaces that retain heat</w:t>
      </w:r>
    </w:p>
    <w:p>
      <w:pPr>
        <w:numPr>
          <w:ilvl w:val="0"/>
          <w:numId w:val="1022"/>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111"/>
    <w:bookmarkStart w:id="112" w:name="cost"/>
    <w:p>
      <w:pPr>
        <w:pStyle w:val="Heading4"/>
      </w:pPr>
      <w:r>
        <w:t xml:space="preserve">9.1.1.2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112"/>
    <w:bookmarkStart w:id="115" w:name="plans"/>
    <w:p>
      <w:pPr>
        <w:pStyle w:val="Heading4"/>
      </w:pPr>
      <w:r>
        <w:t xml:space="preserve">9.1.1.3 Plans</w:t>
      </w:r>
    </w:p>
    <w:bookmarkStart w:id="113" w:name="global"/>
    <w:p>
      <w:pPr>
        <w:pStyle w:val="Heading5"/>
      </w:pPr>
      <w:r>
        <w:t xml:space="preserve">9.1.1.3.1 Global</w:t>
      </w:r>
    </w:p>
    <w:bookmarkEnd w:id="113"/>
    <w:bookmarkStart w:id="114" w:name="local"/>
    <w:p>
      <w:pPr>
        <w:pStyle w:val="Heading5"/>
      </w:pPr>
      <w:r>
        <w:t xml:space="preserve">9.1.1.3.2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114"/>
    <w:bookmarkEnd w:id="115"/>
    <w:bookmarkEnd w:id="116"/>
    <w:bookmarkEnd w:id="117"/>
    <w:bookmarkStart w:id="121" w:name="application-3"/>
    <w:p>
      <w:pPr>
        <w:pStyle w:val="Heading2"/>
      </w:pPr>
      <w:r>
        <w:t xml:space="preserve">9.2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18" w:name="policy-limitations"/>
    <w:p>
      <w:pPr>
        <w:pStyle w:val="Heading3"/>
      </w:pPr>
      <w:r>
        <w:t xml:space="preserve">9.2.1 Policy limitations</w:t>
      </w:r>
    </w:p>
    <w:p>
      <w:pPr>
        <w:numPr>
          <w:ilvl w:val="0"/>
          <w:numId w:val="1023"/>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23"/>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23"/>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18"/>
    <w:bookmarkStart w:id="119" w:name="data-to-drive-the-new-approach"/>
    <w:p>
      <w:pPr>
        <w:pStyle w:val="Heading3"/>
      </w:pPr>
      <w:r>
        <w:t xml:space="preserve">9.2.2 Data to drive the new approach</w:t>
      </w:r>
    </w:p>
    <w:p>
      <w:pPr>
        <w:numPr>
          <w:ilvl w:val="0"/>
          <w:numId w:val="1024"/>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24"/>
        </w:numPr>
        <w:pStyle w:val="Compact"/>
      </w:pPr>
      <w:r>
        <w:t xml:space="preserve">temperature</w:t>
      </w:r>
    </w:p>
    <w:p>
      <w:pPr>
        <w:numPr>
          <w:ilvl w:val="0"/>
          <w:numId w:val="1024"/>
        </w:numPr>
        <w:pStyle w:val="Compact"/>
      </w:pPr>
      <w:r>
        <w:t xml:space="preserve">elevation</w:t>
      </w:r>
    </w:p>
    <w:bookmarkEnd w:id="119"/>
    <w:bookmarkStart w:id="120" w:name="advantages-for-the-data-driven-approach"/>
    <w:p>
      <w:pPr>
        <w:pStyle w:val="Heading3"/>
      </w:pPr>
      <w:r>
        <w:t xml:space="preserve">9.2.3 Advantages for the Data-driven approach</w:t>
      </w:r>
    </w:p>
    <w:p>
      <w:pPr>
        <w:numPr>
          <w:ilvl w:val="0"/>
          <w:numId w:val="1025"/>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25"/>
        </w:numPr>
        <w:pStyle w:val="Compact"/>
      </w:pPr>
      <w:r>
        <w:rPr>
          <w:bCs/>
          <w:b/>
        </w:rPr>
        <w:t xml:space="preserve">monitor</w:t>
      </w:r>
      <w:r>
        <w:t xml:space="preserve"> </w:t>
      </w:r>
      <w:r>
        <w:t xml:space="preserve">UHI effects based on associated land-temperature dynamics</w:t>
      </w:r>
    </w:p>
    <w:p>
      <w:pPr>
        <w:numPr>
          <w:ilvl w:val="0"/>
          <w:numId w:val="1025"/>
        </w:numPr>
        <w:pStyle w:val="Compact"/>
      </w:pPr>
      <w:r>
        <w:t xml:space="preserve">Assessment at finer spatial scales (e.g., block subdivisions)</w:t>
      </w:r>
    </w:p>
    <w:bookmarkEnd w:id="120"/>
    <w:bookmarkEnd w:id="121"/>
    <w:bookmarkStart w:id="124" w:name="methodology"/>
    <w:p>
      <w:pPr>
        <w:pStyle w:val="Heading2"/>
      </w:pPr>
      <w:r>
        <w:t xml:space="preserve">9.3 Methodology</w:t>
      </w:r>
    </w:p>
    <w:p>
      <w:r>
        <w:pict>
          <v:rect style="width:0;height:1.5pt" o:hralign="center" o:hrstd="t" o:hr="t"/>
        </w:pict>
      </w:r>
    </w:p>
    <w:bookmarkStart w:id="122" w:name="temperature-modeling"/>
    <w:p>
      <w:pPr>
        <w:pStyle w:val="Heading3"/>
      </w:pPr>
      <w:r>
        <w:t xml:space="preserve">9.3.1 Temperature Modeling</w:t>
      </w:r>
    </w:p>
    <w:p>
      <w:r>
        <w:pict>
          <v:rect style="width:0;height:1.5pt" o:hralign="center" o:hrstd="t" o:hr="t"/>
        </w:pict>
      </w:r>
    </w:p>
    <w:p>
      <w:pPr>
        <w:numPr>
          <w:ilvl w:val="0"/>
          <w:numId w:val="1026"/>
        </w:numPr>
        <w:pStyle w:val="Compact"/>
      </w:pPr>
      <w:r>
        <w:t xml:space="preserve">Modeled temperature every 3 hours using SOLWEIG model between 2008 and 2010</w:t>
      </w:r>
    </w:p>
    <w:p>
      <w:r>
        <w:pict>
          <v:rect style="width:0;height:1.5pt" o:hralign="center" o:hrstd="t" o:hr="t"/>
        </w:pict>
      </w:r>
    </w:p>
    <w:p>
      <w:pPr>
        <w:numPr>
          <w:ilvl w:val="0"/>
          <w:numId w:val="1027"/>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28"/>
        </w:numPr>
        <w:pStyle w:val="Compact"/>
      </w:pPr>
      <w:r>
        <w:t xml:space="preserve">SVF computed from vegetation canopy REM, building DSM, and ground DTM using UMEP plugin</w:t>
      </w:r>
    </w:p>
    <w:p>
      <w:r>
        <w:pict>
          <v:rect style="width:0;height:1.5pt" o:hralign="center" o:hrstd="t" o:hr="t"/>
        </w:pict>
      </w:r>
    </w:p>
    <w:p>
      <w:pPr>
        <w:numPr>
          <w:ilvl w:val="0"/>
          <w:numId w:val="1029"/>
        </w:numPr>
        <w:pStyle w:val="Compact"/>
      </w:pPr>
      <w:r>
        <w:t xml:space="preserve">Building wall heights and aspect generated from DSM and DTM using UMEP plugin</w:t>
      </w:r>
    </w:p>
    <w:p>
      <w:r>
        <w:pict>
          <v:rect style="width:0;height:1.5pt" o:hralign="center" o:hrstd="t" o:hr="t"/>
        </w:pict>
      </w:r>
    </w:p>
    <w:bookmarkEnd w:id="122"/>
    <w:bookmarkStart w:id="123" w:name="data-driven-tree-placement"/>
    <w:p>
      <w:pPr>
        <w:pStyle w:val="Heading3"/>
      </w:pPr>
      <w:r>
        <w:t xml:space="preserve">9.3.2 Data-Driven Tree Placement</w:t>
      </w:r>
    </w:p>
    <w:p>
      <w:r>
        <w:pict>
          <v:rect style="width:0;height:1.5pt" o:hralign="center" o:hrstd="t" o:hr="t"/>
        </w:pict>
      </w:r>
    </w:p>
    <w:p>
      <w:pPr>
        <w:numPr>
          <w:ilvl w:val="0"/>
          <w:numId w:val="1030"/>
        </w:numPr>
        <w:pStyle w:val="Compact"/>
      </w:pPr>
      <w:r>
        <w:t xml:space="preserve">Site selected for modeling temperature in the City of Fremantle</w:t>
      </w:r>
    </w:p>
    <w:p>
      <w:r>
        <w:pict>
          <v:rect style="width:0;height:1.5pt" o:hralign="center" o:hrstd="t" o:hr="t"/>
        </w:pict>
      </w:r>
    </w:p>
    <w:p>
      <w:pPr>
        <w:numPr>
          <w:ilvl w:val="0"/>
          <w:numId w:val="1031"/>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32"/>
        </w:numPr>
        <w:pStyle w:val="Compact"/>
      </w:pPr>
      <w:r>
        <w:t xml:space="preserve">Highest temperatures identified and used to redesign tree placement</w:t>
      </w:r>
    </w:p>
    <w:p>
      <w:r>
        <w:pict>
          <v:rect style="width:0;height:1.5pt" o:hralign="center" o:hrstd="t" o:hr="t"/>
        </w:pict>
      </w:r>
    </w:p>
    <w:p>
      <w:pPr>
        <w:numPr>
          <w:ilvl w:val="0"/>
          <w:numId w:val="1033"/>
        </w:numPr>
        <w:pStyle w:val="Compact"/>
      </w:pPr>
      <w:r>
        <w:t xml:space="preserve">15 trees distributed according to original design aspects</w:t>
      </w:r>
    </w:p>
    <w:p>
      <w:r>
        <w:pict>
          <v:rect style="width:0;height:1.5pt" o:hralign="center" o:hrstd="t" o:hr="t"/>
        </w:pict>
      </w:r>
    </w:p>
    <w:p>
      <w:pPr>
        <w:numPr>
          <w:ilvl w:val="0"/>
          <w:numId w:val="1034"/>
        </w:numPr>
        <w:pStyle w:val="Compact"/>
      </w:pPr>
      <w:r>
        <w:t xml:space="preserve">Updated vegetation canopy REM reflected new tree locations</w:t>
      </w:r>
    </w:p>
    <w:p>
      <w:r>
        <w:pict>
          <v:rect style="width:0;height:1.5pt" o:hralign="center" o:hrstd="t" o:hr="t"/>
        </w:pict>
      </w:r>
    </w:p>
    <w:p>
      <w:pPr>
        <w:numPr>
          <w:ilvl w:val="0"/>
          <w:numId w:val="1035"/>
        </w:numPr>
        <w:pStyle w:val="Compact"/>
      </w:pPr>
      <w:r>
        <w:t xml:space="preserve">Analysis re-run to compare temperature across redevelopment site</w:t>
      </w:r>
    </w:p>
    <w:p>
      <w:r>
        <w:pict>
          <v:rect style="width:0;height:1.5pt" o:hralign="center" o:hrstd="t" o:hr="t"/>
        </w:pict>
      </w:r>
    </w:p>
    <w:p>
      <w:pPr>
        <w:numPr>
          <w:ilvl w:val="0"/>
          <w:numId w:val="1036"/>
        </w:numPr>
        <w:pStyle w:val="Compact"/>
      </w:pPr>
      <w:r>
        <w:t xml:space="preserve">Modeled all scenarios accounting for influence of neighboring landscape features</w:t>
      </w:r>
    </w:p>
    <w:p>
      <w:r>
        <w:pict>
          <v:rect style="width:0;height:1.5pt" o:hralign="center" o:hrstd="t" o:hr="t"/>
        </w:pict>
      </w:r>
    </w:p>
    <w:bookmarkEnd w:id="123"/>
    <w:bookmarkEnd w:id="124"/>
    <w:bookmarkStart w:id="125" w:name="result"/>
    <w:p>
      <w:pPr>
        <w:pStyle w:val="Heading2"/>
      </w:pPr>
      <w:r>
        <w:t xml:space="preserve">9.4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25"/>
    <w:bookmarkStart w:id="126" w:name="reflection-5"/>
    <w:p>
      <w:pPr>
        <w:pStyle w:val="Heading2"/>
      </w:pPr>
      <w:r>
        <w:t xml:space="preserve">9.5 Reflection</w:t>
      </w:r>
    </w:p>
    <w:p>
      <w:pPr>
        <w:numPr>
          <w:ilvl w:val="0"/>
          <w:numId w:val="1037"/>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26"/>
    <w:bookmarkEnd w:id="127"/>
    <w:bookmarkStart w:id="139" w:name="Xf25d4a036a0a11b071de824447f9beda0b29a41"/>
    <w:p>
      <w:pPr>
        <w:pStyle w:val="Heading1"/>
      </w:pPr>
      <w:r>
        <w:t xml:space="preserve">10. Week 9 - Synthetic Aperture Radar (SAR) data</w:t>
      </w:r>
    </w:p>
    <w:bookmarkStart w:id="137" w:name="summary-7"/>
    <w:p>
      <w:pPr>
        <w:pStyle w:val="Heading2"/>
      </w:pPr>
      <w:r>
        <w:t xml:space="preserve">10.1 Summary</w:t>
      </w:r>
    </w:p>
    <w:bookmarkStart w:id="128" w:name="a-quick-overview"/>
    <w:p>
      <w:pPr>
        <w:pStyle w:val="Heading3"/>
      </w:pPr>
      <w:r>
        <w:t xml:space="preserve">10.1.1 A quick overview</w:t>
      </w:r>
    </w:p>
    <w:p>
      <w:pPr>
        <w:pStyle w:val="FirstParagraph"/>
      </w:pPr>
      <w:r>
        <w:t xml:space="preserve">This week addresses problems in</w:t>
      </w:r>
    </w:p>
    <w:p>
      <w:pPr>
        <w:numPr>
          <w:ilvl w:val="0"/>
          <w:numId w:val="1038"/>
        </w:numPr>
        <w:pStyle w:val="Compact"/>
      </w:pPr>
      <w:r>
        <w:t xml:space="preserve">The object of using Synthetic Aperture Radar (SAR)</w:t>
      </w:r>
    </w:p>
    <w:p>
      <w:pPr>
        <w:pStyle w:val="FirstParagraph"/>
      </w:pPr>
      <w:r>
        <w:t xml:space="preserve">Detecting changes in the Earth’s surface over time</w:t>
      </w:r>
    </w:p>
    <w:p>
      <w:pPr>
        <w:numPr>
          <w:ilvl w:val="0"/>
          <w:numId w:val="1039"/>
        </w:numPr>
      </w:pPr>
      <w:r>
        <w:t xml:space="preserve">The advantages of SAR for change detection</w:t>
      </w:r>
    </w:p>
    <w:p>
      <w:pPr>
        <w:numPr>
          <w:ilvl w:val="1"/>
          <w:numId w:val="1040"/>
        </w:numPr>
        <w:pStyle w:val="Compact"/>
      </w:pPr>
      <w:r>
        <w:t xml:space="preserve">see through clouds</w:t>
      </w:r>
    </w:p>
    <w:p>
      <w:pPr>
        <w:numPr>
          <w:ilvl w:val="1"/>
          <w:numId w:val="1040"/>
        </w:numPr>
        <w:pStyle w:val="Compact"/>
      </w:pPr>
      <w:r>
        <w:t xml:space="preserve">high temporal resolution</w:t>
      </w:r>
    </w:p>
    <w:p>
      <w:pPr>
        <w:numPr>
          <w:ilvl w:val="0"/>
          <w:numId w:val="1039"/>
        </w:numPr>
      </w:pPr>
      <w:r>
        <w:t xml:space="preserve">Techniques for change detection with SAR?</w:t>
      </w:r>
    </w:p>
    <w:p>
      <w:pPr>
        <w:numPr>
          <w:ilvl w:val="1"/>
          <w:numId w:val="1041"/>
        </w:numPr>
        <w:pStyle w:val="Compact"/>
      </w:pPr>
      <w:r>
        <w:t xml:space="preserve">ratio</w:t>
      </w:r>
    </w:p>
    <w:p>
      <w:pPr>
        <w:numPr>
          <w:ilvl w:val="1"/>
          <w:numId w:val="1041"/>
        </w:numPr>
        <w:pStyle w:val="Compact"/>
      </w:pPr>
      <w:r>
        <w:t xml:space="preserve">log ratios between two images</w:t>
      </w:r>
    </w:p>
    <w:p>
      <w:pPr>
        <w:numPr>
          <w:ilvl w:val="1"/>
          <w:numId w:val="1041"/>
        </w:numPr>
        <w:pStyle w:val="Compact"/>
      </w:pPr>
      <w:r>
        <w:t xml:space="preserve">t-tests</w:t>
      </w:r>
    </w:p>
    <w:p>
      <w:pPr>
        <w:numPr>
          <w:ilvl w:val="0"/>
          <w:numId w:val="1039"/>
        </w:numPr>
      </w:pPr>
      <w:r>
        <w:t xml:space="preserve">fused with other data?</w:t>
      </w:r>
    </w:p>
    <w:p>
      <w:pPr>
        <w:numPr>
          <w:ilvl w:val="0"/>
          <w:numId w:val="1000"/>
        </w:numPr>
      </w:pPr>
      <w:r>
        <w:t xml:space="preserve">Yes, with optical data using techniques such as</w:t>
      </w:r>
    </w:p>
    <w:p>
      <w:pPr>
        <w:numPr>
          <w:ilvl w:val="1"/>
          <w:numId w:val="1042"/>
        </w:numPr>
        <w:pStyle w:val="Compact"/>
      </w:pPr>
      <w:r>
        <w:t xml:space="preserve">principal component analysis</w:t>
      </w:r>
    </w:p>
    <w:p>
      <w:pPr>
        <w:numPr>
          <w:ilvl w:val="1"/>
          <w:numId w:val="1042"/>
        </w:numPr>
        <w:pStyle w:val="Compact"/>
      </w:pPr>
      <w:r>
        <w:t xml:space="preserve">object-based image analysis</w:t>
      </w:r>
    </w:p>
    <w:p>
      <w:pPr>
        <w:numPr>
          <w:ilvl w:val="1"/>
          <w:numId w:val="1042"/>
        </w:numPr>
        <w:pStyle w:val="Compact"/>
      </w:pPr>
      <w:r>
        <w:t xml:space="preserve">intensity fusion</w:t>
      </w:r>
    </w:p>
    <w:p>
      <w:pPr>
        <w:numPr>
          <w:ilvl w:val="0"/>
          <w:numId w:val="1039"/>
        </w:numPr>
      </w:pPr>
      <w:r>
        <w:t xml:space="preserve">Applications?</w:t>
      </w:r>
    </w:p>
    <w:p>
      <w:pPr>
        <w:numPr>
          <w:ilvl w:val="1"/>
          <w:numId w:val="1043"/>
        </w:numPr>
        <w:pStyle w:val="Compact"/>
      </w:pPr>
      <w:r>
        <w:t xml:space="preserve">monitoring land use changes</w:t>
      </w:r>
    </w:p>
    <w:p>
      <w:pPr>
        <w:numPr>
          <w:ilvl w:val="1"/>
          <w:numId w:val="1043"/>
        </w:numPr>
        <w:pStyle w:val="Compact"/>
      </w:pPr>
      <w:r>
        <w:t xml:space="preserve">detecting deforestation</w:t>
      </w:r>
    </w:p>
    <w:p>
      <w:pPr>
        <w:numPr>
          <w:ilvl w:val="1"/>
          <w:numId w:val="1043"/>
        </w:numPr>
        <w:pStyle w:val="Compact"/>
      </w:pPr>
      <w:r>
        <w:t xml:space="preserve">identifying urban growth pattern</w:t>
      </w:r>
    </w:p>
    <w:bookmarkEnd w:id="128"/>
    <w:bookmarkStart w:id="129" w:name="sar-fundamentals"/>
    <w:p>
      <w:pPr>
        <w:pStyle w:val="Heading3"/>
      </w:pPr>
      <w:r>
        <w:t xml:space="preserve">10.1.2 SAR fundamentals</w:t>
      </w:r>
    </w:p>
    <w:p>
      <w:pPr>
        <w:numPr>
          <w:ilvl w:val="0"/>
          <w:numId w:val="1044"/>
        </w:numPr>
      </w:pPr>
      <w:r>
        <w:t xml:space="preserve">Definition: Synthetic Aperture Radar (SAR) is a type of radar that uses microwave signals to create high-resolution images of the Earth’s surface.</w:t>
      </w:r>
    </w:p>
    <w:p>
      <w:pPr>
        <w:numPr>
          <w:ilvl w:val="0"/>
          <w:numId w:val="1044"/>
        </w:numPr>
      </w:pPr>
      <w:r>
        <w:t xml:space="preserve">Advantages:</w:t>
      </w:r>
    </w:p>
    <w:p>
      <w:pPr>
        <w:numPr>
          <w:ilvl w:val="1"/>
          <w:numId w:val="1045"/>
        </w:numPr>
        <w:pStyle w:val="Compact"/>
      </w:pPr>
      <w:r>
        <w:t xml:space="preserve">Operates in all weather conditions</w:t>
      </w:r>
    </w:p>
    <w:p>
      <w:pPr>
        <w:numPr>
          <w:ilvl w:val="1"/>
          <w:numId w:val="1045"/>
        </w:numPr>
        <w:pStyle w:val="Compact"/>
      </w:pPr>
      <w:r>
        <w:t xml:space="preserve">Penetrates through clouds and vegetation cover.</w:t>
      </w:r>
    </w:p>
    <w:p>
      <w:pPr>
        <w:numPr>
          <w:ilvl w:val="0"/>
          <w:numId w:val="1044"/>
        </w:numPr>
      </w:pPr>
      <w:r>
        <w:t xml:space="preserve">Limitations</w:t>
      </w:r>
    </w:p>
    <w:p>
      <w:pPr>
        <w:numPr>
          <w:ilvl w:val="1"/>
          <w:numId w:val="1046"/>
        </w:numPr>
        <w:pStyle w:val="Compact"/>
      </w:pPr>
      <w:r>
        <w:t xml:space="preserve">Sensitive to surface roughness; limited spatial resolution.</w:t>
      </w:r>
    </w:p>
    <w:p>
      <w:pPr>
        <w:numPr>
          <w:ilvl w:val="0"/>
          <w:numId w:val="1044"/>
        </w:numPr>
      </w:pPr>
      <w:r>
        <w:t xml:space="preserve">Processing Techniques</w:t>
      </w:r>
    </w:p>
    <w:p>
      <w:pPr>
        <w:numPr>
          <w:ilvl w:val="1"/>
          <w:numId w:val="1047"/>
        </w:numPr>
        <w:pStyle w:val="Compact"/>
      </w:pPr>
      <w:r>
        <w:t xml:space="preserve">Interferometry: combines multiple SAR images to create 3D maps of the Earth’s surface.</w:t>
      </w:r>
    </w:p>
    <w:p>
      <w:pPr>
        <w:numPr>
          <w:ilvl w:val="1"/>
          <w:numId w:val="1047"/>
        </w:numPr>
        <w:pStyle w:val="Compact"/>
      </w:pPr>
      <w:r>
        <w:t xml:space="preserve">Polarimetry: analyzes the polarization properties of reflected signals to extract additional information about surface features.</w:t>
      </w:r>
    </w:p>
    <w:p>
      <w:pPr>
        <w:numPr>
          <w:ilvl w:val="0"/>
          <w:numId w:val="1000"/>
        </w:numPr>
      </w:pPr>
      <w:r>
        <w:t xml:space="preserve">The relationship between different surfaces and their sensitivity to polarizations in SAR data</w:t>
      </w:r>
    </w:p>
    <w:tbl>
      <w:tblPr>
        <w:tblStyle w:val="Table"/>
        <w:tblW w:type="pct" w:w="5000"/>
        <w:tblLook w:firstRow="1" w:lastRow="0" w:firstColumn="0" w:lastColumn="0" w:noHBand="0" w:noVBand="0" w:val="0020"/>
      </w:tblPr>
      <w:tblGrid>
        <w:gridCol w:w="2640"/>
        <w:gridCol w:w="2640"/>
        <w:gridCol w:w="2640"/>
      </w:tblGrid>
      <w:tr>
        <w:trPr>
          <w:tblHeader w:val="true"/>
        </w:trPr>
        <w:tc>
          <w:tcPr/>
          <w:p>
            <w:pPr>
              <w:numPr>
                <w:ilvl w:val="0"/>
                <w:numId w:val="1000"/>
              </w:numPr>
              <w:pStyle w:val="Compact"/>
              <w:jc w:val="left"/>
            </w:pPr>
            <w:r>
              <w:t xml:space="preserve">Surface Type</w:t>
            </w:r>
          </w:p>
        </w:tc>
        <w:tc>
          <w:tcPr/>
          <w:p>
            <w:pPr>
              <w:numPr>
                <w:ilvl w:val="0"/>
                <w:numId w:val="1000"/>
              </w:numPr>
              <w:pStyle w:val="Compact"/>
              <w:jc w:val="left"/>
            </w:pPr>
            <w:r>
              <w:t xml:space="preserve">Scattering Mechanism</w:t>
            </w:r>
          </w:p>
        </w:tc>
        <w:tc>
          <w:tcPr/>
          <w:p>
            <w:pPr>
              <w:numPr>
                <w:ilvl w:val="0"/>
                <w:numId w:val="1000"/>
              </w:numPr>
              <w:pStyle w:val="Compact"/>
              <w:jc w:val="left"/>
            </w:pPr>
            <w:r>
              <w:t xml:space="preserve">Most Sensitive Polarization</w:t>
            </w:r>
          </w:p>
        </w:tc>
      </w:tr>
      <w:tr>
        <w:tc>
          <w:tcPr/>
          <w:p>
            <w:pPr>
              <w:numPr>
                <w:ilvl w:val="0"/>
                <w:numId w:val="1000"/>
              </w:numPr>
              <w:pStyle w:val="Compact"/>
              <w:jc w:val="left"/>
            </w:pPr>
            <w:r>
              <w:t xml:space="preserve">Rough (bare earth)</w:t>
            </w:r>
          </w:p>
        </w:tc>
        <w:tc>
          <w:tcPr/>
          <w:p>
            <w:pPr>
              <w:numPr>
                <w:ilvl w:val="0"/>
                <w:numId w:val="1000"/>
              </w:numPr>
              <w:pStyle w:val="Compact"/>
              <w:jc w:val="left"/>
            </w:pPr>
            <w:r>
              <w:t xml:space="preserve">Rough Scattering</w:t>
            </w:r>
          </w:p>
        </w:tc>
        <w:tc>
          <w:tcPr/>
          <w:p>
            <w:pPr>
              <w:numPr>
                <w:ilvl w:val="0"/>
                <w:numId w:val="1000"/>
              </w:numPr>
              <w:pStyle w:val="Compact"/>
              <w:jc w:val="left"/>
            </w:pPr>
            <w:r>
              <w:t xml:space="preserve">Vertical-Vertical (VV)</w:t>
            </w:r>
          </w:p>
        </w:tc>
      </w:tr>
      <w:tr>
        <w:tc>
          <w:tcPr/>
          <w:p>
            <w:pPr>
              <w:numPr>
                <w:ilvl w:val="0"/>
                <w:numId w:val="1000"/>
              </w:numPr>
              <w:pStyle w:val="Compact"/>
              <w:jc w:val="left"/>
            </w:pPr>
            <w:r>
              <w:t xml:space="preserve">Leaves</w:t>
            </w:r>
          </w:p>
        </w:tc>
        <w:tc>
          <w:tcPr/>
          <w:p>
            <w:pPr>
              <w:numPr>
                <w:ilvl w:val="0"/>
                <w:numId w:val="1000"/>
              </w:numPr>
              <w:pStyle w:val="Compact"/>
              <w:jc w:val="left"/>
            </w:pPr>
            <w:r>
              <w:t xml:space="preserve">Volume Scattering</w:t>
            </w:r>
          </w:p>
        </w:tc>
        <w:tc>
          <w:tcPr/>
          <w:p>
            <w:pPr>
              <w:numPr>
                <w:ilvl w:val="0"/>
                <w:numId w:val="1000"/>
              </w:numPr>
              <w:pStyle w:val="Compact"/>
              <w:jc w:val="left"/>
            </w:pPr>
            <w:r>
              <w:t xml:space="preserve">Vertical-Horizontal (VH) or Horizontal-Vertical (HV)</w:t>
            </w:r>
          </w:p>
        </w:tc>
      </w:tr>
      <w:tr>
        <w:tc>
          <w:tcPr/>
          <w:p>
            <w:pPr>
              <w:numPr>
                <w:ilvl w:val="0"/>
                <w:numId w:val="1000"/>
              </w:numPr>
              <w:pStyle w:val="Compact"/>
              <w:jc w:val="left"/>
            </w:pPr>
            <w:r>
              <w:t xml:space="preserve">Trees / Buildings</w:t>
            </w:r>
          </w:p>
        </w:tc>
        <w:tc>
          <w:tcPr/>
          <w:p>
            <w:pPr>
              <w:numPr>
                <w:ilvl w:val="0"/>
                <w:numId w:val="1000"/>
              </w:numPr>
              <w:pStyle w:val="Compact"/>
              <w:jc w:val="left"/>
            </w:pPr>
            <w:r>
              <w:t xml:space="preserve">Double Bounce</w:t>
            </w:r>
          </w:p>
        </w:tc>
        <w:tc>
          <w:tcPr/>
          <w:p>
            <w:pPr>
              <w:numPr>
                <w:ilvl w:val="0"/>
                <w:numId w:val="1000"/>
              </w:numPr>
              <w:pStyle w:val="Compact"/>
              <w:jc w:val="left"/>
            </w:pPr>
            <w:r>
              <w:t xml:space="preserve">Horizontal-Horizontal (HH)</w:t>
            </w:r>
          </w:p>
        </w:tc>
      </w:tr>
    </w:tbl>
    <w:p>
      <w:pPr>
        <w:numPr>
          <w:ilvl w:val="0"/>
          <w:numId w:val="1044"/>
        </w:numPr>
      </w:pPr>
      <w:r>
        <w:t xml:space="preserve">Applications:</w:t>
      </w:r>
    </w:p>
    <w:p>
      <w:pPr>
        <w:numPr>
          <w:ilvl w:val="1"/>
          <w:numId w:val="1048"/>
        </w:numPr>
        <w:pStyle w:val="Compact"/>
      </w:pPr>
      <w:r>
        <w:t xml:space="preserve">Environmental monitoring, disaster response, urban planning, military surveillance, and more.</w:t>
      </w:r>
    </w:p>
    <w:bookmarkEnd w:id="129"/>
    <w:bookmarkStart w:id="130" w:name="practical-change-detection-with-sar"/>
    <w:p>
      <w:pPr>
        <w:pStyle w:val="Heading3"/>
      </w:pPr>
      <w:r>
        <w:t xml:space="preserve">10.1.3 Practical change detection with SAR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30"/>
    <w:bookmarkStart w:id="136" w:name="possible-future-developments"/>
    <w:p>
      <w:pPr>
        <w:pStyle w:val="Heading3"/>
      </w:pPr>
      <w:r>
        <w:t xml:space="preserve">10.1.4 Possible future developments</w:t>
      </w:r>
    </w:p>
    <w:p>
      <w:pPr>
        <w:pStyle w:val="FirstParagraph"/>
      </w:pPr>
      <w:r>
        <w:t xml:space="preserve">Resolution, accuracy, real-time-ness and data scale in SAR might see advancements.</w:t>
      </w:r>
    </w:p>
    <w:p>
      <w:pPr>
        <w:numPr>
          <w:ilvl w:val="0"/>
          <w:numId w:val="1049"/>
        </w:numPr>
        <w:pStyle w:val="Compact"/>
      </w:pPr>
      <w:r>
        <w:t xml:space="preserve">Improved resolution and accuracy:</w:t>
      </w:r>
    </w:p>
    <w:p>
      <w:pPr>
        <w:numPr>
          <w:ilvl w:val="1"/>
          <w:numId w:val="1050"/>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49"/>
        </w:numPr>
        <w:pStyle w:val="Compact"/>
      </w:pPr>
      <w:r>
        <w:t xml:space="preserve">Data processing capabilities</w:t>
      </w:r>
    </w:p>
    <w:p>
      <w:pPr>
        <w:numPr>
          <w:ilvl w:val="1"/>
          <w:numId w:val="1051"/>
        </w:numPr>
        <w:pStyle w:val="Compact"/>
      </w:pPr>
      <w:r>
        <w:t xml:space="preserve">Disaster response: The ability to process larger datasets and monitor Earth’s surface in near real-time can inform global policies regarding disaster management, such as the</w:t>
      </w:r>
      <w:r>
        <w:t xml:space="preserve"> </w:t>
      </w:r>
      <w:hyperlink r:id="rId131">
        <w:r>
          <w:rPr>
            <w:rStyle w:val="Hyperlink"/>
          </w:rPr>
          <w:t xml:space="preserve">Sendai Framework for Disaster Risk Reduction</w:t>
        </w:r>
      </w:hyperlink>
      <w:r>
        <w:t xml:space="preserve">. Boosted rapidness and data capability of SAR can better response to natural disasters, like earthquakes or hurricanes. This allows for quicker design of resources deployment strategy, and more comprehensive information in managing affected areas.</w:t>
      </w:r>
    </w:p>
    <w:p>
      <w:pPr>
        <w:numPr>
          <w:ilvl w:val="0"/>
          <w:numId w:val="1049"/>
        </w:numPr>
        <w:pStyle w:val="Compact"/>
      </w:pPr>
      <w:r>
        <w:t xml:space="preserve">New SAR applications</w:t>
      </w:r>
    </w:p>
    <w:p>
      <w:pPr>
        <w:numPr>
          <w:ilvl w:val="1"/>
          <w:numId w:val="1052"/>
        </w:numPr>
        <w:pStyle w:val="Compact"/>
      </w:pPr>
      <w:r>
        <w:t xml:space="preserve">Agricultural: Enhanced SAR facilitates its use in change detection and monitoring. This will support policies like the</w:t>
      </w:r>
      <w:r>
        <w:t xml:space="preserve"> </w:t>
      </w:r>
      <w:hyperlink r:id="rId132">
        <w:r>
          <w:rPr>
            <w:rStyle w:val="Hyperlink"/>
          </w:rPr>
          <w:t xml:space="preserve">European Union’s Common Agricultural Policy (CAP)</w:t>
        </w:r>
      </w:hyperlink>
      <w:r>
        <w:t xml:space="preserve">, by providing data on crop health, irrigation needs, and land use changes.</w:t>
      </w:r>
    </w:p>
    <w:p>
      <w:pPr>
        <w:numPr>
          <w:ilvl w:val="1"/>
          <w:numId w:val="1052"/>
        </w:numPr>
        <w:pStyle w:val="Compact"/>
      </w:pPr>
      <w:r>
        <w:t xml:space="preserve">Forestry (deforestation and reforestation tracking)</w:t>
      </w:r>
    </w:p>
    <w:p>
      <w:pPr>
        <w:numPr>
          <w:ilvl w:val="1"/>
          <w:numId w:val="1052"/>
        </w:numPr>
        <w:pStyle w:val="Compact"/>
      </w:pPr>
      <w:r>
        <w:t xml:space="preserve">Disaster response (flood and landslide monitoring)</w:t>
      </w:r>
    </w:p>
    <w:p>
      <w:pPr>
        <w:numPr>
          <w:ilvl w:val="1"/>
          <w:numId w:val="1052"/>
        </w:numPr>
        <w:pStyle w:val="Compact"/>
      </w:pPr>
      <w:r>
        <w:t xml:space="preserve">Environmental management: SAR data can inform policies related to wetland and coastal zone management, such as the</w:t>
      </w:r>
      <w:r>
        <w:t xml:space="preserve"> </w:t>
      </w:r>
      <w:hyperlink r:id="rId133">
        <w:r>
          <w:rPr>
            <w:rStyle w:val="Hyperlink"/>
          </w:rPr>
          <w:t xml:space="preserve">Ramsar Convention on Wetlands</w:t>
        </w:r>
      </w:hyperlink>
      <w:r>
        <w:t xml:space="preserve"> </w:t>
      </w:r>
      <w:r>
        <w:t xml:space="preserve">and the</w:t>
      </w:r>
      <w:r>
        <w:t xml:space="preserve"> </w:t>
      </w:r>
      <w:hyperlink r:id="rId134">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49"/>
        </w:numPr>
        <w:pStyle w:val="Compact"/>
      </w:pPr>
      <w:r>
        <w:t xml:space="preserve">More matured machine learning and artificial intelligence:</w:t>
      </w:r>
    </w:p>
    <w:p>
      <w:pPr>
        <w:numPr>
          <w:ilvl w:val="1"/>
          <w:numId w:val="1053"/>
        </w:numPr>
        <w:pStyle w:val="Compact"/>
      </w:pPr>
      <w:r>
        <w:t xml:space="preserve">Advanced algorithms that are yet to be developed or need further maturity for SAR data analysis could include:</w:t>
      </w:r>
    </w:p>
    <w:tbl>
      <w:tblPr>
        <w:tblStyle w:val="Table"/>
        <w:tblW w:type="pct" w:w="5000"/>
        <w:tblLook w:firstRow="1" w:lastRow="0" w:firstColumn="0" w:lastColumn="0" w:noHBand="0" w:noVBand="0" w:val="0020"/>
      </w:tblPr>
      <w:tblGrid>
        <w:gridCol w:w="2640"/>
        <w:gridCol w:w="2640"/>
        <w:gridCol w:w="2640"/>
      </w:tblGrid>
      <w:tr>
        <w:trPr>
          <w:tblHeader w:val="true"/>
        </w:trPr>
        <w:tc>
          <w:tcPr/>
          <w:p>
            <w:pPr>
              <w:numPr>
                <w:ilvl w:val="0"/>
                <w:numId w:val="1000"/>
              </w:numPr>
              <w:pStyle w:val="Compact"/>
              <w:jc w:val="left"/>
            </w:pPr>
            <w:r>
              <w:t xml:space="preserve">Algorithm</w:t>
            </w:r>
          </w:p>
        </w:tc>
        <w:tc>
          <w:tcPr/>
          <w:p>
            <w:pPr>
              <w:numPr>
                <w:ilvl w:val="0"/>
                <w:numId w:val="1000"/>
              </w:numPr>
              <w:pStyle w:val="Compact"/>
              <w:jc w:val="left"/>
            </w:pPr>
            <w:r>
              <w:t xml:space="preserve">Pros</w:t>
            </w:r>
          </w:p>
        </w:tc>
        <w:tc>
          <w:tcPr/>
          <w:p>
            <w:pPr>
              <w:numPr>
                <w:ilvl w:val="0"/>
                <w:numId w:val="1000"/>
              </w:numPr>
              <w:pStyle w:val="Compact"/>
              <w:jc w:val="left"/>
            </w:pPr>
            <w:r>
              <w:t xml:space="preserve">Cons</w:t>
            </w:r>
          </w:p>
        </w:tc>
      </w:tr>
      <w:tr>
        <w:tc>
          <w:tcPr/>
          <w:p>
            <w:pPr>
              <w:numPr>
                <w:ilvl w:val="0"/>
                <w:numId w:val="1000"/>
              </w:numPr>
              <w:pStyle w:val="Compact"/>
              <w:jc w:val="left"/>
            </w:pPr>
            <w:r>
              <w:t xml:space="preserve">Improved Unsupervised Change Detection Algorithms</w:t>
            </w:r>
          </w:p>
        </w:tc>
        <w:tc>
          <w:tcPr/>
          <w:p>
            <w:pPr>
              <w:numPr>
                <w:ilvl w:val="0"/>
                <w:numId w:val="1000"/>
              </w:numPr>
              <w:pStyle w:val="Compact"/>
              <w:jc w:val="left"/>
            </w:pPr>
            <w:r>
              <w:t xml:space="preserve">- No need for labeled training data. - Can discover unknown or unexpected changes.</w:t>
            </w:r>
          </w:p>
        </w:tc>
        <w:tc>
          <w:tcPr/>
          <w:p>
            <w:pPr>
              <w:numPr>
                <w:ilvl w:val="0"/>
                <w:numId w:val="1000"/>
              </w:numPr>
              <w:pStyle w:val="Compact"/>
              <w:jc w:val="left"/>
            </w:pPr>
            <w:r>
              <w:t xml:space="preserve">- May struggle with complex or subtle changes. - Can be sensitive to noise and variations in the data.</w:t>
            </w:r>
          </w:p>
        </w:tc>
      </w:tr>
      <w:tr>
        <w:tc>
          <w:tcPr/>
          <w:p>
            <w:pPr>
              <w:numPr>
                <w:ilvl w:val="0"/>
                <w:numId w:val="1000"/>
              </w:numPr>
              <w:pStyle w:val="Compact"/>
              <w:jc w:val="left"/>
            </w:pPr>
            <w:r>
              <w:t xml:space="preserve">Multi-Modal Fusion Algorithms</w:t>
            </w:r>
          </w:p>
        </w:tc>
        <w:tc>
          <w:tcPr/>
          <w:p>
            <w:pPr>
              <w:numPr>
                <w:ilvl w:val="0"/>
                <w:numId w:val="1000"/>
              </w:numPr>
              <w:pStyle w:val="Compact"/>
              <w:jc w:val="left"/>
            </w:pPr>
            <w:r>
              <w:t xml:space="preserve">- Combines SAR data with other sources (e.g., optical, hyperspectral) for better feature identification. - Can exploit the complementary strengths of different data types.</w:t>
            </w:r>
          </w:p>
        </w:tc>
        <w:tc>
          <w:tcPr/>
          <w:p>
            <w:pPr>
              <w:numPr>
                <w:ilvl w:val="0"/>
                <w:numId w:val="1000"/>
              </w:numPr>
              <w:pStyle w:val="Compact"/>
              <w:jc w:val="left"/>
            </w:pPr>
            <w:r>
              <w:t xml:space="preserve">- Requires data synchronization and registration, which can be challenging. - May involve increased complexity and computational cost.</w:t>
            </w:r>
          </w:p>
        </w:tc>
      </w:tr>
      <w:tr>
        <w:tc>
          <w:tcPr/>
          <w:p>
            <w:pPr>
              <w:numPr>
                <w:ilvl w:val="0"/>
                <w:numId w:val="1000"/>
              </w:numPr>
              <w:pStyle w:val="Compact"/>
              <w:jc w:val="left"/>
            </w:pPr>
            <w:r>
              <w:t xml:space="preserve">Graph-based Change Detection Algorithms</w:t>
            </w:r>
          </w:p>
        </w:tc>
        <w:tc>
          <w:tcPr/>
          <w:p>
            <w:pPr>
              <w:numPr>
                <w:ilvl w:val="0"/>
                <w:numId w:val="1000"/>
              </w:numPr>
              <w:pStyle w:val="Compact"/>
              <w:jc w:val="left"/>
            </w:pPr>
            <w:r>
              <w:t xml:space="preserve">- Can model complex spatial relationships between features. - Robust against noise and speckle effects in SAR data.</w:t>
            </w:r>
          </w:p>
        </w:tc>
        <w:tc>
          <w:tcPr/>
          <w:p>
            <w:pPr>
              <w:numPr>
                <w:ilvl w:val="0"/>
                <w:numId w:val="1000"/>
              </w:numPr>
              <w:pStyle w:val="Compact"/>
              <w:jc w:val="left"/>
            </w:pPr>
            <w:r>
              <w:t xml:space="preserve">- Computationally expensive, especially for large-scale datasets. - May require tuning of hyperparameters.</w:t>
            </w:r>
          </w:p>
        </w:tc>
      </w:tr>
    </w:tbl>
    <w:p>
      <w:pPr>
        <w:numPr>
          <w:ilvl w:val="1"/>
          <w:numId w:val="1054"/>
        </w:numPr>
        <w:pStyle w:val="Compact"/>
      </w:pPr>
      <w:r>
        <w:t xml:space="preserve">Improved overall accuracy of change detection can support climate change adaptation efforts at both local and global levels, including the</w:t>
      </w:r>
      <w:r>
        <w:t xml:space="preserve"> </w:t>
      </w:r>
      <w:hyperlink r:id="rId135">
        <w:r>
          <w:rPr>
            <w:rStyle w:val="Hyperlink"/>
          </w:rPr>
          <w:t xml:space="preserve">United Nations Framework Convention on Climate Change (UNFCCC)</w:t>
        </w:r>
      </w:hyperlink>
      <w:r>
        <w:t xml:space="preserve"> </w:t>
      </w:r>
      <w:r>
        <w:t xml:space="preserve">and the</w:t>
      </w:r>
      <w:r>
        <w:t xml:space="preserve"> </w:t>
      </w:r>
      <w:hyperlink r:id="rId135">
        <w:r>
          <w:rPr>
            <w:rStyle w:val="Hyperlink"/>
          </w:rPr>
          <w:t xml:space="preserve">Paris Agreement</w:t>
        </w:r>
      </w:hyperlink>
      <w:r>
        <w:t xml:space="preserve">. Predictive models based on SAR data can help policymakers identify areas at risk of flooding, coastal erosion, or other climate-related impacts, enabling the targeted adaptation strategies.</w:t>
      </w:r>
    </w:p>
    <w:p>
      <w:pPr>
        <w:pStyle w:val="FirstParagraph"/>
      </w:pPr>
      <w:r>
        <w:t xml:space="preserve">Advancements in SAR technology, combined with the integration of machine learning and AI, will enhance change detection capabilities, enabling new analysis avenues in sectors including agriculture, forestry, disaster management, and environmental protection, ultimately influencing policymaking and promoting more informed decision-making processes.</w:t>
      </w:r>
    </w:p>
    <w:bookmarkEnd w:id="136"/>
    <w:bookmarkEnd w:id="137"/>
    <w:bookmarkStart w:id="138" w:name="application-4"/>
    <w:p>
      <w:pPr>
        <w:pStyle w:val="Heading2"/>
      </w:pPr>
      <w:r>
        <w:t xml:space="preserve">10.2 Application</w:t>
      </w:r>
    </w:p>
    <w:bookmarkEnd w:id="138"/>
    <w:bookmarkEnd w:id="139"/>
    <w:bookmarkStart w:id="140" w:name="summary-8"/>
    <w:p>
      <w:pPr>
        <w:pStyle w:val="Heading1"/>
      </w:pPr>
      <w:r>
        <w:t xml:space="preserve">11.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40"/>
    <w:bookmarkStart w:id="158" w:name="references"/>
    <w:p>
      <w:pPr>
        <w:pStyle w:val="Heading1"/>
      </w:pPr>
      <w:r>
        <w:t xml:space="preserve">References</w:t>
      </w:r>
    </w:p>
    <w:bookmarkStart w:id="157" w:name="refs"/>
    <w:bookmarkStart w:id="142"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41">
        <w:r>
          <w:rPr>
            <w:rStyle w:val="Hyperlink"/>
          </w:rPr>
          <w:t xml:space="preserve">https://developers.google.com/earth-engine/guides/machine-learning</w:t>
        </w:r>
      </w:hyperlink>
      <w:r>
        <w:t xml:space="preserve">.</w:t>
      </w:r>
    </w:p>
    <w:bookmarkEnd w:id="142"/>
    <w:bookmarkStart w:id="144"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43">
        <w:r>
          <w:rPr>
            <w:rStyle w:val="Hyperlink"/>
          </w:rPr>
          <w:t xml:space="preserve">https://developers.google.com/earth-engine/guides/reducers_intro</w:t>
        </w:r>
      </w:hyperlink>
      <w:r>
        <w:t xml:space="preserve">.</w:t>
      </w:r>
    </w:p>
    <w:bookmarkEnd w:id="144"/>
    <w:bookmarkStart w:id="146"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45">
        <w:r>
          <w:rPr>
            <w:rStyle w:val="Hyperlink"/>
          </w:rPr>
          <w:t xml:space="preserve">https://doi.org/10.1016/j.rse.2017.06.031</w:t>
        </w:r>
      </w:hyperlink>
      <w:r>
        <w:t xml:space="preserve">.</w:t>
      </w:r>
    </w:p>
    <w:bookmarkEnd w:id="146"/>
    <w:bookmarkStart w:id="147"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47"/>
    <w:bookmarkStart w:id="149"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48">
        <w:r>
          <w:rPr>
            <w:rStyle w:val="Hyperlink"/>
          </w:rPr>
          <w:t xml:space="preserve">https://www.frontiersin.org/articles/10.3389/fbuil.2020.519599</w:t>
        </w:r>
      </w:hyperlink>
      <w:r>
        <w:t xml:space="preserve">.</w:t>
      </w:r>
    </w:p>
    <w:bookmarkEnd w:id="149"/>
    <w:bookmarkStart w:id="150"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50"/>
    <w:bookmarkStart w:id="152" w:name="ref-robison2018future"/>
    <w:p>
      <w:pPr>
        <w:pStyle w:val="Bibliography"/>
      </w:pPr>
      <w:r>
        <w:t xml:space="preserve">Robison, Keela. 2018.</w:t>
      </w:r>
      <w:r>
        <w:t xml:space="preserve"> </w:t>
      </w:r>
      <w:r>
        <w:t xml:space="preserve">“The Future of Image Annotation: Human in the Loop.”</w:t>
      </w:r>
      <w:r>
        <w:t xml:space="preserve"> </w:t>
      </w:r>
      <w:hyperlink r:id="rId151">
        <w:r>
          <w:rPr>
            <w:rStyle w:val="Hyperlink"/>
          </w:rPr>
          <w:t xml:space="preserve">https://lionbridge.ai/articles/the-future-of-image-annotation-human-in-the-loop/</w:t>
        </w:r>
      </w:hyperlink>
      <w:r>
        <w:t xml:space="preserve">.</w:t>
      </w:r>
    </w:p>
    <w:bookmarkEnd w:id="152"/>
    <w:bookmarkStart w:id="154"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53">
        <w:r>
          <w:rPr>
            <w:rStyle w:val="Hyperlink"/>
          </w:rPr>
          <w:t xml:space="preserve">https://doi.org/10.1016/j.rsase.2023.100941</w:t>
        </w:r>
      </w:hyperlink>
      <w:r>
        <w:t xml:space="preserve">.</w:t>
      </w:r>
    </w:p>
    <w:bookmarkEnd w:id="154"/>
    <w:bookmarkStart w:id="156"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55">
        <w:r>
          <w:rPr>
            <w:rStyle w:val="Hyperlink"/>
          </w:rPr>
          <w:t xml:space="preserve">https://doi.org/10.1111/2041-210X.12942</w:t>
        </w:r>
      </w:hyperlink>
      <w:r>
        <w:t xml:space="preserve">.</w:t>
      </w:r>
    </w:p>
    <w:bookmarkEnd w:id="156"/>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98" Target="media/rId98.png" /><Relationship Type="http://schemas.openxmlformats.org/officeDocument/2006/relationships/image" Id="rId51" Target="media/rId51.png" /><Relationship Type="http://schemas.openxmlformats.org/officeDocument/2006/relationships/image" Id="rId89" Target="media/rId8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hyperlink" Id="rId141" Target="https://developers.google.com/earth-engine/guides/machine-learning" TargetMode="External" /><Relationship Type="http://schemas.openxmlformats.org/officeDocument/2006/relationships/hyperlink" Id="rId143" Target="https://developers.google.com/earth-engine/guides/reducers_intro" TargetMode="External" /><Relationship Type="http://schemas.openxmlformats.org/officeDocument/2006/relationships/hyperlink" Id="rId153" Target="https://doi.org/10.1016/j.rsase.2023.100941" TargetMode="External" /><Relationship Type="http://schemas.openxmlformats.org/officeDocument/2006/relationships/hyperlink" Id="rId145" Target="https://doi.org/10.1016/j.rse.2017.06.031" TargetMode="External" /><Relationship Type="http://schemas.openxmlformats.org/officeDocument/2006/relationships/hyperlink" Id="rId155" Target="https://doi.org/10.1111/2041-210X.12942" TargetMode="External" /><Relationship Type="http://schemas.openxmlformats.org/officeDocument/2006/relationships/hyperlink" Id="rId132" Target="https://ec.europa.eu/info/food-farming-fisheries/key-policies/common-agricultural-policy/cap-glance_en" TargetMode="External" /><Relationship Type="http://schemas.openxmlformats.org/officeDocument/2006/relationships/hyperlink" Id="rId151" Target="https://lionbridge.ai/articles/the-future-of-image-annotation-human-in-the-loop/" TargetMode="External" /><Relationship Type="http://schemas.openxmlformats.org/officeDocument/2006/relationships/hyperlink" Id="rId85" Target="https://ncics.org/data/noaa-big-data-project/" TargetMode="External" /><Relationship Type="http://schemas.openxmlformats.org/officeDocument/2006/relationships/hyperlink" Id="rId59" Target="https://onenyc.cityofnewyork.us/wp-content/uploads/2019/05/OneNYC-2050-Summary.pdf" TargetMode="External" /><Relationship Type="http://schemas.openxmlformats.org/officeDocument/2006/relationships/hyperlink" Id="rId135" Target="https://unfccc.int/" TargetMode="External" /><Relationship Type="http://schemas.openxmlformats.org/officeDocument/2006/relationships/hyperlink" Id="rId84" Target="https://unfccc.int/topics/land-use/workstreams/reddplus" TargetMode="External" /><Relationship Type="http://schemas.openxmlformats.org/officeDocument/2006/relationships/hyperlink" Id="rId83" Target="https://www.copernicus.eu/en" TargetMode="External" /><Relationship Type="http://schemas.openxmlformats.org/officeDocument/2006/relationships/hyperlink" Id="rId148" Target="https://www.frontiersin.org/articles/10.3389/fbuil.2020.519599" TargetMode="External" /><Relationship Type="http://schemas.openxmlformats.org/officeDocument/2006/relationships/hyperlink" Id="rId133" Target="https://www.ramsar.org/" TargetMode="External" /><Relationship Type="http://schemas.openxmlformats.org/officeDocument/2006/relationships/hyperlink" Id="rId134" Target="https://www.un.org/Depts/los/convention_agreements/convention_overview_convention.htm" TargetMode="External" /><Relationship Type="http://schemas.openxmlformats.org/officeDocument/2006/relationships/hyperlink" Id="rId131"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141" Target="https://developers.google.com/earth-engine/guides/machine-learning" TargetMode="External" /><Relationship Type="http://schemas.openxmlformats.org/officeDocument/2006/relationships/hyperlink" Id="rId143" Target="https://developers.google.com/earth-engine/guides/reducers_intro" TargetMode="External" /><Relationship Type="http://schemas.openxmlformats.org/officeDocument/2006/relationships/hyperlink" Id="rId153" Target="https://doi.org/10.1016/j.rsase.2023.100941" TargetMode="External" /><Relationship Type="http://schemas.openxmlformats.org/officeDocument/2006/relationships/hyperlink" Id="rId145" Target="https://doi.org/10.1016/j.rse.2017.06.031" TargetMode="External" /><Relationship Type="http://schemas.openxmlformats.org/officeDocument/2006/relationships/hyperlink" Id="rId155" Target="https://doi.org/10.1111/2041-210X.12942" TargetMode="External" /><Relationship Type="http://schemas.openxmlformats.org/officeDocument/2006/relationships/hyperlink" Id="rId132" Target="https://ec.europa.eu/info/food-farming-fisheries/key-policies/common-agricultural-policy/cap-glance_en" TargetMode="External" /><Relationship Type="http://schemas.openxmlformats.org/officeDocument/2006/relationships/hyperlink" Id="rId151" Target="https://lionbridge.ai/articles/the-future-of-image-annotation-human-in-the-loop/" TargetMode="External" /><Relationship Type="http://schemas.openxmlformats.org/officeDocument/2006/relationships/hyperlink" Id="rId85" Target="https://ncics.org/data/noaa-big-data-project/" TargetMode="External" /><Relationship Type="http://schemas.openxmlformats.org/officeDocument/2006/relationships/hyperlink" Id="rId59" Target="https://onenyc.cityofnewyork.us/wp-content/uploads/2019/05/OneNYC-2050-Summary.pdf" TargetMode="External" /><Relationship Type="http://schemas.openxmlformats.org/officeDocument/2006/relationships/hyperlink" Id="rId135" Target="https://unfccc.int/" TargetMode="External" /><Relationship Type="http://schemas.openxmlformats.org/officeDocument/2006/relationships/hyperlink" Id="rId84" Target="https://unfccc.int/topics/land-use/workstreams/reddplus" TargetMode="External" /><Relationship Type="http://schemas.openxmlformats.org/officeDocument/2006/relationships/hyperlink" Id="rId83" Target="https://www.copernicus.eu/en" TargetMode="External" /><Relationship Type="http://schemas.openxmlformats.org/officeDocument/2006/relationships/hyperlink" Id="rId148" Target="https://www.frontiersin.org/articles/10.3389/fbuil.2020.519599" TargetMode="External" /><Relationship Type="http://schemas.openxmlformats.org/officeDocument/2006/relationships/hyperlink" Id="rId133" Target="https://www.ramsar.org/" TargetMode="External" /><Relationship Type="http://schemas.openxmlformats.org/officeDocument/2006/relationships/hyperlink" Id="rId134" Target="https://www.un.org/Depts/los/convention_agreements/convention_overview_convention.htm" TargetMode="External" /><Relationship Type="http://schemas.openxmlformats.org/officeDocument/2006/relationships/hyperlink" Id="rId131"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2023-03-22T18:49:55Z</dcterms:created>
  <dcterms:modified xsi:type="dcterms:W3CDTF">2023-03-22T18:49:55Z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