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b/>
          <w:bCs/>
          <w:color w:val="0e1b3d"/>
          <w:spacing w:val="40"/>
          <w:sz w:val="30"/>
          <w:szCs w:val="30"/>
        </w:rPr>
        <w:t xml:space="preserve">NKAMVA</w:t>
      </w:r>
    </w:p>
    <w:p>
      <w:pPr>
        <w:spacing w:after="100" w:before="200"/>
        <w:jc w:val="center"/>
      </w:pPr>
      <w:r>
        <w:rPr>
          <w:b/>
          <w:bCs/>
          <w:color w:val="1f4fd8"/>
          <w:sz w:val="44"/>
          <w:szCs w:val="44"/>
        </w:rPr>
        <w:t xml:space="preserve">Inventaire des fonctionnalités de la plateforme</w:t>
      </w:r>
    </w:p>
    <w:p>
      <w:pPr>
        <w:spacing w:after="400"/>
        <w:jc w:val="center"/>
      </w:pPr>
      <w:r>
        <w:rPr>
          <w:i/>
          <w:iCs/>
          <w:color w:val="46506b"/>
          <w:sz w:val="24"/>
          <w:szCs w:val="24"/>
        </w:rPr>
        <w:t xml:space="preserve">État des lieux du produit en production et comparaison avec la maquette « Nkamva-M »</w:t>
      </w:r>
    </w:p>
    <w:p>
      <w:pPr>
        <w:spacing w:after="40"/>
        <w:jc w:val="center"/>
      </w:pPr>
      <w:r>
        <w:rPr>
          <w:color w:val="46506b"/>
          <w:sz w:val="20"/>
          <w:szCs w:val="20"/>
        </w:rPr>
        <w:t xml:space="preserve">22 juillet 2026</w:t>
      </w:r>
    </w:p>
    <w:p>
      <w:pPr>
        <w:spacing w:after="600"/>
        <w:jc w:val="center"/>
      </w:pPr>
      <w:r>
        <w:rPr>
          <w:color w:val="7b859c"/>
          <w:sz w:val="18"/>
          <w:szCs w:val="18"/>
        </w:rPr>
        <w:t xml:space="preserve">Sources : repo Next.js (src/app) · maquette statique Nkamva-M (75 écrans)</w:t>
      </w:r>
    </w:p>
    <w:p>
      <w:pPr>
        <w:pStyle w:val="Heading2"/>
        <w:spacing w:after="120" w:before="300"/>
      </w:pPr>
      <w:r>
        <w:rPr>
          <w:b/>
          <w:bCs/>
          <w:color w:val="097a3b"/>
          <w:sz w:val="26"/>
          <w:szCs w:val="26"/>
        </w:rPr>
        <w:t xml:space="preserve">Résumé exécutif</w:t>
      </w:r>
    </w:p>
    <w:p>
      <w:pPr>
        <w:spacing w:after="120"/>
      </w:pPr>
      <w:r>
        <w:rPr>
          <w:i w:val="false"/>
          <w:iCs w:val="false"/>
          <w:color w:val="0e1b3d"/>
          <w:sz w:val="21"/>
          <w:szCs w:val="21"/>
        </w:rPr>
        <w:t xml:space="preserve">La plateforme NkamVa est aujourd'hui fonctionnellement complète sur les 4 grands espaces (visiteur, apprenant, formateur, admin) : la quasi-totalité des 75 écrans de la maquette de référence "Nkamva-M" ont un équivalent réel implémenté, et plusieurs pages réelles (profil apprenant, abonnement formateur, tarifs) vont même au-delà de ce que montre la maquette.</w:t>
      </w:r>
    </w:p>
    <w:p>
      <w:pPr>
        <w:spacing w:after="120"/>
      </w:pPr>
      <w:r>
        <w:rPr>
          <w:i w:val="false"/>
          <w:iCs w:val="false"/>
          <w:color w:val="0e1b3d"/>
          <w:sz w:val="21"/>
          <w:szCs w:val="21"/>
        </w:rPr>
        <w:t xml:space="preserve">Les seuls écarts fonctionnels net constatés se concentrent dans l'espace Admin / Finance : validation des dossiers formateurs (pièces justificatives), score KYC sur les retraits, et gestion des litiges/chargebacks. Ces trois écarts partagent une cause commune — l'absence des modèles de données TrainerDocument et Dispute côté API — et peuvent donc être traités comme un seul chantier.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200"/>
      </w:tblGrid>
      <w:tr>
        <w:trPr>
          <w:tblHeader/>
        </w:trPr>
        <w:tc>
          <w:tcPr>
            <w:tcW w:type="dxa" w:w="3200"/>
            <w:shd w:fill="0e1b3d" w:val="clear"/>
            <w:vAlign w:val="center"/>
          </w:tcPr>
          <w:p>
            <w:r>
              <w:rPr>
                <w:b/>
                <w:bCs/>
                <w:color w:val="ffffff"/>
                <w:sz w:val="19"/>
                <w:szCs w:val="19"/>
              </w:rPr>
              <w:t xml:space="preserve">Espace</w:t>
            </w:r>
          </w:p>
        </w:tc>
        <w:tc>
          <w:tcPr>
            <w:tcW w:type="dxa" w:w="2600"/>
            <w:shd w:fill="0e1b3d" w:val="clear"/>
            <w:vAlign w:val="center"/>
          </w:tcPr>
          <w:p>
            <w:r>
              <w:rPr>
                <w:b/>
                <w:bCs/>
                <w:color w:val="ffffff"/>
                <w:sz w:val="19"/>
                <w:szCs w:val="19"/>
              </w:rPr>
              <w:t xml:space="preserve">Statut</w:t>
            </w:r>
          </w:p>
        </w:tc>
        <w:tc>
          <w:tcPr>
            <w:tcW w:type="dxa" w:w="4200"/>
            <w:shd w:fill="0e1b3d" w:val="clear"/>
            <w:vAlign w:val="center"/>
          </w:tcPr>
          <w:p>
            <w:r>
              <w:rPr>
                <w:b/>
                <w:bCs/>
                <w:color w:val="ffffff"/>
                <w:sz w:val="19"/>
                <w:szCs w:val="19"/>
              </w:rPr>
              <w:t xml:space="preserve">Constat clé</w:t>
            </w:r>
          </w:p>
        </w:tc>
      </w:tr>
      <w:tr>
        <w:tc>
          <w:tcPr>
            <w:tcW w:type="dxa" w:w="3200"/>
            <w:vAlign w:val="center"/>
          </w:tcPr>
          <w:p>
            <w:r>
              <w:rPr>
                <w:b w:val="false"/>
                <w:bCs w:val="false"/>
                <w:color w:val="0e1b3d"/>
                <w:sz w:val="19"/>
                <w:szCs w:val="19"/>
              </w:rPr>
              <w:t xml:space="preserve">Visiteur / marketing</w:t>
            </w:r>
          </w:p>
        </w:tc>
        <w:tc>
          <w:tcPr>
            <w:tcW w:type="dxa" w:w="2600"/>
            <w:shd w:fill="eafaf1" w:val="clear"/>
            <w:vAlign w:val="center"/>
          </w:tcPr>
          <w:p>
            <w:pPr>
              <w:jc w:val="center"/>
            </w:pPr>
            <w:r>
              <w:rPr>
                <w:b/>
                <w:bCs/>
                <w:color w:val="097a3b"/>
                <w:sz w:val="19"/>
                <w:szCs w:val="19"/>
              </w:rPr>
              <w:t xml:space="preserve">OK</w:t>
            </w:r>
          </w:p>
        </w:tc>
        <w:tc>
          <w:tcPr>
            <w:tcW w:type="dxa" w:w="4200"/>
            <w:vAlign w:val="center"/>
          </w:tcPr>
          <w:p>
            <w:r>
              <w:rPr>
                <w:b w:val="false"/>
                <w:bCs w:val="false"/>
                <w:color w:val="0e1b3d"/>
                <w:sz w:val="19"/>
                <w:szCs w:val="19"/>
              </w:rPr>
              <w:t xml:space="preserve">Conforme, tarifs pilotés dynamiquement (plus avancé que la maquette).</w:t>
            </w:r>
          </w:p>
        </w:tc>
      </w:tr>
      <w:tr>
        <w:tc>
          <w:tcPr>
            <w:tcW w:type="dxa" w:w="3200"/>
            <w:vAlign w:val="center"/>
          </w:tcPr>
          <w:p>
            <w:r>
              <w:rPr>
                <w:b w:val="false"/>
                <w:bCs w:val="false"/>
                <w:color w:val="0e1b3d"/>
                <w:sz w:val="19"/>
                <w:szCs w:val="19"/>
              </w:rPr>
              <w:t xml:space="preserve">Apprenant</w:t>
            </w:r>
          </w:p>
        </w:tc>
        <w:tc>
          <w:tcPr>
            <w:tcW w:type="dxa" w:w="2600"/>
            <w:shd w:fill="eafaf1" w:val="clear"/>
            <w:vAlign w:val="center"/>
          </w:tcPr>
          <w:p>
            <w:pPr>
              <w:jc w:val="center"/>
            </w:pPr>
            <w:r>
              <w:rPr>
                <w:b/>
                <w:bCs/>
                <w:color w:val="097a3b"/>
                <w:sz w:val="19"/>
                <w:szCs w:val="19"/>
              </w:rPr>
              <w:t xml:space="preserve">OK</w:t>
            </w:r>
          </w:p>
        </w:tc>
        <w:tc>
          <w:tcPr>
            <w:tcW w:type="dxa" w:w="4200"/>
            <w:vAlign w:val="center"/>
          </w:tcPr>
          <w:p>
            <w:r>
              <w:rPr>
                <w:b w:val="false"/>
                <w:bCs w:val="false"/>
                <w:color w:val="0e1b3d"/>
                <w:sz w:val="19"/>
                <w:szCs w:val="19"/>
              </w:rPr>
              <w:t xml:space="preserve">Parité complète ; profil réel plus avancé (export RGPD, suppression compte déjà actifs).</w:t>
            </w:r>
          </w:p>
        </w:tc>
      </w:tr>
      <w:tr>
        <w:tc>
          <w:tcPr>
            <w:tcW w:type="dxa" w:w="3200"/>
            <w:vAlign w:val="center"/>
          </w:tcPr>
          <w:p>
            <w:r>
              <w:rPr>
                <w:b w:val="false"/>
                <w:bCs w:val="false"/>
                <w:color w:val="0e1b3d"/>
                <w:sz w:val="19"/>
                <w:szCs w:val="19"/>
              </w:rPr>
              <w:t xml:space="preserve">Formateur</w:t>
            </w:r>
          </w:p>
        </w:tc>
        <w:tc>
          <w:tcPr>
            <w:tcW w:type="dxa" w:w="2600"/>
            <w:shd w:fill="eafaf1" w:val="clear"/>
            <w:vAlign w:val="center"/>
          </w:tcPr>
          <w:p>
            <w:pPr>
              <w:jc w:val="center"/>
            </w:pPr>
            <w:r>
              <w:rPr>
                <w:b/>
                <w:bCs/>
                <w:color w:val="097a3b"/>
                <w:sz w:val="19"/>
                <w:szCs w:val="19"/>
              </w:rPr>
              <w:t xml:space="preserve">OK</w:t>
            </w:r>
          </w:p>
        </w:tc>
        <w:tc>
          <w:tcPr>
            <w:tcW w:type="dxa" w:w="4200"/>
            <w:vAlign w:val="center"/>
          </w:tcPr>
          <w:p>
            <w:r>
              <w:rPr>
                <w:b w:val="false"/>
                <w:bCs w:val="false"/>
                <w:color w:val="0e1b3d"/>
                <w:sz w:val="19"/>
                <w:szCs w:val="19"/>
              </w:rPr>
              <w:t xml:space="preserve">Abonnement/paiement réel plus riche que la maquette.</w:t>
            </w:r>
          </w:p>
        </w:tc>
      </w:tr>
      <w:tr>
        <w:tc>
          <w:tcPr>
            <w:tcW w:type="dxa" w:w="3200"/>
            <w:vAlign w:val="center"/>
          </w:tcPr>
          <w:p>
            <w:r>
              <w:rPr>
                <w:b w:val="false"/>
                <w:bCs w:val="false"/>
                <w:color w:val="0e1b3d"/>
                <w:sz w:val="19"/>
                <w:szCs w:val="19"/>
              </w:rPr>
              <w:t xml:space="preserve">Admin — Utilisateurs</w:t>
            </w:r>
          </w:p>
        </w:tc>
        <w:tc>
          <w:tcPr>
            <w:tcW w:type="dxa" w:w="2600"/>
            <w:shd w:fill="eafaf1" w:val="clear"/>
            <w:vAlign w:val="center"/>
          </w:tcPr>
          <w:p>
            <w:pPr>
              <w:jc w:val="center"/>
            </w:pPr>
            <w:r>
              <w:rPr>
                <w:b/>
                <w:bCs/>
                <w:color w:val="097a3b"/>
                <w:sz w:val="19"/>
                <w:szCs w:val="19"/>
              </w:rPr>
              <w:t xml:space="preserve">OK</w:t>
            </w:r>
          </w:p>
        </w:tc>
        <w:tc>
          <w:tcPr>
            <w:tcW w:type="dxa" w:w="4200"/>
            <w:vAlign w:val="center"/>
          </w:tcPr>
          <w:p>
            <w:r>
              <w:rPr>
                <w:b w:val="false"/>
                <w:bCs w:val="false"/>
                <w:color w:val="0e1b3d"/>
                <w:sz w:val="19"/>
                <w:szCs w:val="19"/>
              </w:rPr>
              <w:t xml:space="preserve">Bonne parité fonctionnelle.</w:t>
            </w:r>
          </w:p>
        </w:tc>
      </w:tr>
      <w:tr>
        <w:tc>
          <w:tcPr>
            <w:tcW w:type="dxa" w:w="3200"/>
            <w:vAlign w:val="center"/>
          </w:tcPr>
          <w:p>
            <w:r>
              <w:rPr>
                <w:b w:val="false"/>
                <w:bCs w:val="false"/>
                <w:color w:val="0e1b3d"/>
                <w:sz w:val="19"/>
                <w:szCs w:val="19"/>
              </w:rPr>
              <w:t xml:space="preserve">Admin — Validation formateurs</w:t>
            </w:r>
          </w:p>
        </w:tc>
        <w:tc>
          <w:tcPr>
            <w:tcW w:type="dxa" w:w="2600"/>
            <w:shd w:fill="fdf3df" w:val="clear"/>
            <w:vAlign w:val="center"/>
          </w:tcPr>
          <w:p>
            <w:pPr>
              <w:jc w:val="center"/>
            </w:pPr>
            <w:r>
              <w:rPr>
                <w:b/>
                <w:bCs/>
                <w:color w:val="c47a07"/>
                <w:sz w:val="19"/>
                <w:szCs w:val="19"/>
              </w:rPr>
              <w:t xml:space="preserve">A COMPLETER</w:t>
            </w:r>
          </w:p>
        </w:tc>
        <w:tc>
          <w:tcPr>
            <w:tcW w:type="dxa" w:w="4200"/>
            <w:vAlign w:val="center"/>
          </w:tcPr>
          <w:p>
            <w:r>
              <w:rPr>
                <w:b w:val="false"/>
                <w:bCs w:val="false"/>
                <w:color w:val="0e1b3d"/>
                <w:sz w:val="19"/>
                <w:szCs w:val="19"/>
              </w:rPr>
              <w:t xml:space="preserve">Aucun dossier de vérification (pièce d'identité / RIB) : modèle TrainerDocument absent côté API.</w:t>
            </w:r>
          </w:p>
        </w:tc>
      </w:tr>
      <w:tr>
        <w:tc>
          <w:tcPr>
            <w:tcW w:type="dxa" w:w="3200"/>
            <w:vAlign w:val="center"/>
          </w:tcPr>
          <w:p>
            <w:r>
              <w:rPr>
                <w:b w:val="false"/>
                <w:bCs w:val="false"/>
                <w:color w:val="0e1b3d"/>
                <w:sz w:val="19"/>
                <w:szCs w:val="19"/>
              </w:rPr>
              <w:t xml:space="preserve">Admin — Retraits (payouts)</w:t>
            </w:r>
          </w:p>
        </w:tc>
        <w:tc>
          <w:tcPr>
            <w:tcW w:type="dxa" w:w="2600"/>
            <w:shd w:fill="fdf3df" w:val="clear"/>
            <w:vAlign w:val="center"/>
          </w:tcPr>
          <w:p>
            <w:pPr>
              <w:jc w:val="center"/>
            </w:pPr>
            <w:r>
              <w:rPr>
                <w:b/>
                <w:bCs/>
                <w:color w:val="c47a07"/>
                <w:sz w:val="19"/>
                <w:szCs w:val="19"/>
              </w:rPr>
              <w:t xml:space="preserve">A COMPLETER</w:t>
            </w:r>
          </w:p>
        </w:tc>
        <w:tc>
          <w:tcPr>
            <w:tcW w:type="dxa" w:w="4200"/>
            <w:vAlign w:val="center"/>
          </w:tcPr>
          <w:p>
            <w:r>
              <w:rPr>
                <w:b w:val="false"/>
                <w:bCs w:val="false"/>
                <w:color w:val="0e1b3d"/>
                <w:sz w:val="19"/>
                <w:szCs w:val="19"/>
              </w:rPr>
              <w:t xml:space="preserve">Badge KYC affiché en dur, pas de score réel calculé.</w:t>
            </w:r>
          </w:p>
        </w:tc>
      </w:tr>
      <w:tr>
        <w:tc>
          <w:tcPr>
            <w:tcW w:type="dxa" w:w="3200"/>
            <w:vAlign w:val="center"/>
          </w:tcPr>
          <w:p>
            <w:r>
              <w:rPr>
                <w:b w:val="false"/>
                <w:bCs w:val="false"/>
                <w:color w:val="0e1b3d"/>
                <w:sz w:val="19"/>
                <w:szCs w:val="19"/>
              </w:rPr>
              <w:t xml:space="preserve">Admin — Remboursements</w:t>
            </w:r>
          </w:p>
        </w:tc>
        <w:tc>
          <w:tcPr>
            <w:tcW w:type="dxa" w:w="2600"/>
            <w:shd w:fill="fdf3df" w:val="clear"/>
            <w:vAlign w:val="center"/>
          </w:tcPr>
          <w:p>
            <w:pPr>
              <w:jc w:val="center"/>
            </w:pPr>
            <w:r>
              <w:rPr>
                <w:b/>
                <w:bCs/>
                <w:color w:val="c47a07"/>
                <w:sz w:val="19"/>
                <w:szCs w:val="19"/>
              </w:rPr>
              <w:t xml:space="preserve">A COMPLETER</w:t>
            </w:r>
          </w:p>
        </w:tc>
        <w:tc>
          <w:tcPr>
            <w:tcW w:type="dxa" w:w="4200"/>
            <w:vAlign w:val="center"/>
          </w:tcPr>
          <w:p>
            <w:r>
              <w:rPr>
                <w:b w:val="false"/>
                <w:bCs w:val="false"/>
                <w:color w:val="0e1b3d"/>
                <w:sz w:val="19"/>
                <w:szCs w:val="19"/>
              </w:rPr>
              <w:t xml:space="preserve">Onglet « Litiges &amp; chargebacks » = placeholder texte ; pas d'historique de messages support.</w:t>
            </w:r>
          </w:p>
        </w:tc>
      </w:tr>
    </w:tbl>
    <w:p>
      <w:r>
        <w:br w:type="page"/>
      </w:r>
    </w:p>
    <w:p>
      <w:pPr>
        <w:pStyle w:val="Heading1"/>
        <w:pBdr>
          <w:bottom w:val="single" w:color="1f4fd8" w:sz="12" w:space="4"/>
        </w:pBdr>
        <w:spacing w:after="200" w:before="400"/>
      </w:pPr>
      <w:r>
        <w:rPr>
          <w:b/>
          <w:bCs/>
          <w:color w:val="0e1b3d"/>
          <w:sz w:val="32"/>
          <w:szCs w:val="32"/>
        </w:rPr>
        <w:t xml:space="preserve">1. Fonctionnalités actuelles de la plateforme</w:t>
      </w:r>
    </w:p>
    <w:p>
      <w:pPr>
        <w:spacing w:after="120"/>
      </w:pPr>
      <w:r>
        <w:rPr>
          <w:i/>
          <w:iCs/>
          <w:color w:val="0e1b3d"/>
          <w:sz w:val="21"/>
          <w:szCs w:val="21"/>
        </w:rPr>
        <w:t xml:space="preserve">Architecture : frontend Next.js (App Router) qui s'appuie sur un backend Hono/Prisma séparé. Le modèle central en base est "Course", exposé côté produit sous le nom "Ressource" (façade). Le flag NEXT_PUBLIC_FEATURE_SCHOOL bascule entre deux UX : désactivé (mode actuel), l'apprenant consulte une ressource unitaire ; activé, la même Course redevient un cours structuré avec sections, leçons, certificats et évaluations.</w:t>
      </w:r>
    </w:p>
    <w:p>
      <w:pPr>
        <w:pStyle w:val="Heading2"/>
        <w:spacing w:after="120" w:before="300"/>
      </w:pPr>
      <w:r>
        <w:rPr>
          <w:b/>
          <w:bCs/>
          <w:color w:val="1f4fd8"/>
          <w:sz w:val="26"/>
          <w:szCs w:val="26"/>
        </w:rPr>
        <w:t xml:space="preserve">1.1 Public / Marketing</w:t>
      </w:r>
    </w:p>
    <w:p>
      <w:pPr>
        <w:pStyle w:val="ListParagraph"/>
        <w:numPr>
          <w:ilvl w:val="0"/>
          <w:numId w:val="2"/>
        </w:numPr>
        <w:spacing w:after="90"/>
      </w:pPr>
      <w:r>
        <w:rPr>
          <w:color w:val="0e1b3d"/>
          <w:sz w:val="21"/>
          <w:szCs w:val="21"/>
        </w:rPr>
        <w:t xml:space="preserve">Accueil — hero, piliers (communautés / monétisation / diplômes) avec images éditoriales pilotables depuis l'admin, ressources populaires, moyens de paiement.</w:t>
      </w:r>
    </w:p>
    <w:p>
      <w:pPr>
        <w:pStyle w:val="ListParagraph"/>
        <w:numPr>
          <w:ilvl w:val="0"/>
          <w:numId w:val="2"/>
        </w:numPr>
        <w:spacing w:after="90"/>
      </w:pPr>
      <w:r>
        <w:rPr>
          <w:color w:val="0e1b3d"/>
          <w:sz w:val="21"/>
          <w:szCs w:val="21"/>
        </w:rPr>
        <w:t xml:space="preserve">Catalogue de ressources — recherche debouncée, filtre par catégorie, tri (popularité / nouveauté / prix), pagination.</w:t>
      </w:r>
    </w:p>
    <w:p>
      <w:pPr>
        <w:pStyle w:val="ListParagraph"/>
        <w:numPr>
          <w:ilvl w:val="0"/>
          <w:numId w:val="2"/>
        </w:numPr>
        <w:spacing w:after="90"/>
      </w:pPr>
      <w:r>
        <w:rPr>
          <w:color w:val="0e1b3d"/>
          <w:sz w:val="21"/>
          <w:szCs w:val="21"/>
        </w:rPr>
        <w:t xml:space="preserve">Fiche ressource — prix, notes et avis, profil formateur, tags, achat direct ou ouverture si déjà acheté, favoris.</w:t>
      </w:r>
    </w:p>
    <w:p>
      <w:pPr>
        <w:pStyle w:val="ListParagraph"/>
        <w:numPr>
          <w:ilvl w:val="0"/>
          <w:numId w:val="2"/>
        </w:numPr>
        <w:spacing w:after="90"/>
      </w:pPr>
      <w:r>
        <w:rPr>
          <w:color w:val="0e1b3d"/>
          <w:sz w:val="21"/>
          <w:szCs w:val="21"/>
        </w:rPr>
        <w:t xml:space="preserve">Annuaire formateurs et profils — filtrable par catégorie/nom, ressources publiées, communauté liée, avis notés, prochains lives, message direct.</w:t>
      </w:r>
    </w:p>
    <w:p>
      <w:pPr>
        <w:pStyle w:val="ListParagraph"/>
        <w:numPr>
          <w:ilvl w:val="0"/>
          <w:numId w:val="2"/>
        </w:numPr>
        <w:spacing w:after="90"/>
      </w:pPr>
      <w:r>
        <w:rPr>
          <w:color w:val="0e1b3d"/>
          <w:sz w:val="21"/>
          <w:szCs w:val="21"/>
        </w:rPr>
        <w:t xml:space="preserve">Catalogue et fiche communautés — salons, aperçu de discussion verrouillé pour non-membres, statistiques (membres, messages/jour, satisfaction, lives/mois), adhésion par carte (Stripe) ou Mobile Money (CinetPay).</w:t>
      </w:r>
    </w:p>
    <w:p>
      <w:pPr>
        <w:pStyle w:val="ListParagraph"/>
        <w:numPr>
          <w:ilvl w:val="0"/>
          <w:numId w:val="2"/>
        </w:numPr>
        <w:spacing w:after="90"/>
      </w:pPr>
      <w:r>
        <w:rPr>
          <w:color w:val="0e1b3d"/>
          <w:sz w:val="21"/>
          <w:szCs w:val="21"/>
        </w:rPr>
        <w:t xml:space="preserve">Recherche transversale — onglets ressources / formateurs / communautés, interrogation parallèle des 3 endpoints.</w:t>
      </w:r>
    </w:p>
    <w:p>
      <w:pPr>
        <w:pStyle w:val="ListParagraph"/>
        <w:numPr>
          <w:ilvl w:val="0"/>
          <w:numId w:val="2"/>
        </w:numPr>
        <w:spacing w:after="90"/>
      </w:pPr>
      <w:r>
        <w:rPr>
          <w:color w:val="0e1b3d"/>
          <w:sz w:val="21"/>
          <w:szCs w:val="21"/>
        </w:rPr>
        <w:t xml:space="preserve">Tarifs — 3 offres (apprenant gratuit, communautés à prix variable, formateur en abonnement mensuel/annuel piloté par l'admin), FAQ, toggle mensuel/annuel.</w:t>
      </w:r>
    </w:p>
    <w:p>
      <w:pPr>
        <w:pStyle w:val="ListParagraph"/>
        <w:numPr>
          <w:ilvl w:val="0"/>
          <w:numId w:val="2"/>
        </w:numPr>
        <w:spacing w:after="90"/>
      </w:pPr>
      <w:r>
        <w:rPr>
          <w:color w:val="0e1b3d"/>
          <w:sz w:val="21"/>
          <w:szCs w:val="21"/>
        </w:rPr>
        <w:t xml:space="preserve">Pages légales et support — CGU, confidentialité, mentions légales, contact, aide, à propos.</w:t>
      </w:r>
    </w:p>
    <w:p>
      <w:pPr>
        <w:pStyle w:val="Heading2"/>
        <w:spacing w:after="120" w:before="300"/>
      </w:pPr>
      <w:r>
        <w:rPr>
          <w:b/>
          <w:bCs/>
          <w:color w:val="1f4fd8"/>
          <w:sz w:val="26"/>
          <w:szCs w:val="26"/>
        </w:rPr>
        <w:t xml:space="preserve">1.2 Authentification &amp; onboarding</w:t>
      </w:r>
    </w:p>
    <w:p>
      <w:pPr>
        <w:pStyle w:val="ListParagraph"/>
        <w:numPr>
          <w:ilvl w:val="0"/>
          <w:numId w:val="2"/>
        </w:numPr>
        <w:spacing w:after="90"/>
      </w:pPr>
      <w:r>
        <w:rPr>
          <w:color w:val="0e1b3d"/>
          <w:sz w:val="21"/>
          <w:szCs w:val="21"/>
        </w:rPr>
        <w:t xml:space="preserve">Inscription apprenant / formateur, connexion, mot de passe oublié / réinitialisation, vérification par code OTP (6 chiffres, compte à rebours réel, renvoi de code).</w:t>
      </w:r>
    </w:p>
    <w:p>
      <w:pPr>
        <w:pStyle w:val="ListParagraph"/>
        <w:numPr>
          <w:ilvl w:val="0"/>
          <w:numId w:val="2"/>
        </w:numPr>
        <w:spacing w:after="90"/>
      </w:pPr>
      <w:r>
        <w:rPr>
          <w:color w:val="0e1b3d"/>
          <w:sz w:val="21"/>
          <w:szCs w:val="21"/>
        </w:rPr>
        <w:t xml:space="preserve">Onboarding apprenant — wizard en 3 étapes (thèmes d'intérêt, objectif/niveau, recommandation de ressource réelle).</w:t>
      </w:r>
    </w:p>
    <w:p>
      <w:pPr>
        <w:pStyle w:val="ListParagraph"/>
        <w:numPr>
          <w:ilvl w:val="0"/>
          <w:numId w:val="2"/>
        </w:numPr>
        <w:spacing w:after="90"/>
      </w:pPr>
      <w:r>
        <w:rPr>
          <w:color w:val="0e1b3d"/>
          <w:sz w:val="21"/>
          <w:szCs w:val="21"/>
        </w:rPr>
        <w:t xml:space="preserve">Candidature formateur — 3 étapes (domaines/expérience, bio/portfolio, upload direct pièce d'identité/diplôme/vidéo) puis écran d'attente de validation.</w:t>
      </w:r>
    </w:p>
    <w:p>
      <w:pPr>
        <w:pStyle w:val="ListParagraph"/>
        <w:numPr>
          <w:ilvl w:val="0"/>
          <w:numId w:val="2"/>
        </w:numPr>
        <w:spacing w:after="90"/>
      </w:pPr>
      <w:r>
        <w:rPr>
          <w:color w:val="0e1b3d"/>
          <w:sz w:val="21"/>
          <w:szCs w:val="21"/>
        </w:rPr>
        <w:t xml:space="preserve">Invitations communauté par magic link — aperçu (communauté, formateur invitant, expiration), acceptation avec redirection auth, ou refus avec suppression RGPD immédiate de l'email invité.</w:t>
      </w:r>
    </w:p>
    <w:p>
      <w:pPr>
        <w:pStyle w:val="Heading2"/>
        <w:spacing w:after="120" w:before="300"/>
      </w:pPr>
      <w:r>
        <w:rPr>
          <w:b/>
          <w:bCs/>
          <w:color w:val="1f4fd8"/>
          <w:sz w:val="26"/>
          <w:szCs w:val="26"/>
        </w:rPr>
        <w:t xml:space="preserve">1.3 Espace Apprenant</w:t>
      </w:r>
    </w:p>
    <w:p>
      <w:pPr>
        <w:pStyle w:val="ListParagraph"/>
        <w:numPr>
          <w:ilvl w:val="0"/>
          <w:numId w:val="2"/>
        </w:numPr>
        <w:spacing w:after="90"/>
      </w:pPr>
      <w:r>
        <w:rPr>
          <w:color w:val="0e1b3d"/>
          <w:sz w:val="21"/>
          <w:szCs w:val="21"/>
        </w:rPr>
        <w:t xml:space="preserve">Tableau de bord — ressources récentes avec statut consulté/non consulté, prochains lives/événements, communautés rejointes, statistiques (achats, consultations, heures d'apprentissage en graphique, streak), recommandations.</w:t>
      </w:r>
    </w:p>
    <w:p>
      <w:pPr>
        <w:pStyle w:val="ListParagraph"/>
        <w:numPr>
          <w:ilvl w:val="0"/>
          <w:numId w:val="2"/>
        </w:numPr>
        <w:spacing w:after="90"/>
      </w:pPr>
      <w:r>
        <w:rPr>
          <w:color w:val="0e1b3d"/>
          <w:sz w:val="21"/>
          <w:szCs w:val="21"/>
        </w:rPr>
        <w:t xml:space="preserve">Mes ressources — onglets toutes / consultées / non lues, ouverture du lecteur.</w:t>
      </w:r>
    </w:p>
    <w:p>
      <w:pPr>
        <w:pStyle w:val="ListParagraph"/>
        <w:numPr>
          <w:ilvl w:val="0"/>
          <w:numId w:val="2"/>
        </w:numPr>
        <w:spacing w:after="90"/>
      </w:pPr>
      <w:r>
        <w:rPr>
          <w:color w:val="0e1b3d"/>
          <w:sz w:val="21"/>
          <w:szCs w:val="21"/>
        </w:rPr>
        <w:t xml:space="preserve">Mes achats &amp; facturation — historique de paiement, téléchargement de facture PDF, demande de remboursement motivée, gestion d'abonnement communauté (résiliation avec accès conservé jusqu'à fin de période).</w:t>
      </w:r>
    </w:p>
    <w:p>
      <w:pPr>
        <w:pStyle w:val="ListParagraph"/>
        <w:numPr>
          <w:ilvl w:val="0"/>
          <w:numId w:val="2"/>
        </w:numPr>
        <w:spacing w:after="90"/>
      </w:pPr>
      <w:r>
        <w:rPr>
          <w:color w:val="0e1b3d"/>
          <w:sz w:val="21"/>
          <w:szCs w:val="21"/>
        </w:rPr>
        <w:t xml:space="preserve">Favoris — ressources et communautés.</w:t>
      </w:r>
    </w:p>
    <w:p>
      <w:pPr>
        <w:pStyle w:val="ListParagraph"/>
        <w:numPr>
          <w:ilvl w:val="0"/>
          <w:numId w:val="2"/>
        </w:numPr>
        <w:spacing w:after="90"/>
      </w:pPr>
      <w:r>
        <w:rPr>
          <w:color w:val="0e1b3d"/>
          <w:sz w:val="21"/>
          <w:szCs w:val="21"/>
        </w:rPr>
        <w:t xml:space="preserve">Communautés — mes communautés rejointes, résiliation/reprise d'abonnement.</w:t>
      </w:r>
    </w:p>
    <w:p>
      <w:pPr>
        <w:pStyle w:val="ListParagraph"/>
        <w:numPr>
          <w:ilvl w:val="0"/>
          <w:numId w:val="2"/>
        </w:numPr>
        <w:spacing w:after="90"/>
      </w:pPr>
      <w:r>
        <w:rPr>
          <w:color w:val="0e1b3d"/>
          <w:sz w:val="21"/>
          <w:szCs w:val="21"/>
        </w:rPr>
        <w:t xml:space="preserve">Lives — liste à venir/en cours/replays, salle live via LiveKit (mode abonné, caméra/micro coupés à l'entrée, pas de partage d'écran).</w:t>
      </w:r>
    </w:p>
    <w:p>
      <w:pPr>
        <w:pStyle w:val="ListParagraph"/>
        <w:numPr>
          <w:ilvl w:val="0"/>
          <w:numId w:val="2"/>
        </w:numPr>
        <w:spacing w:after="90"/>
      </w:pPr>
      <w:r>
        <w:rPr>
          <w:color w:val="0e1b3d"/>
          <w:sz w:val="21"/>
          <w:szCs w:val="21"/>
        </w:rPr>
        <w:t xml:space="preserve">Messagerie 1-1 par polling, point d'entrée direct depuis un profil formateur.</w:t>
      </w:r>
    </w:p>
    <w:p>
      <w:pPr>
        <w:pStyle w:val="ListParagraph"/>
        <w:numPr>
          <w:ilvl w:val="0"/>
          <w:numId w:val="2"/>
        </w:numPr>
        <w:spacing w:after="90"/>
      </w:pPr>
      <w:r>
        <w:rPr>
          <w:color w:val="0e1b3d"/>
          <w:sz w:val="21"/>
          <w:szCs w:val="21"/>
        </w:rPr>
        <w:t xml:space="preserve">Certificats et évaluations (si mode école activé) — rendu PDF, historique de quiz, reprise.</w:t>
      </w:r>
    </w:p>
    <w:p>
      <w:pPr>
        <w:pStyle w:val="ListParagraph"/>
        <w:numPr>
          <w:ilvl w:val="0"/>
          <w:numId w:val="2"/>
        </w:numPr>
        <w:spacing w:after="90"/>
      </w:pPr>
      <w:r>
        <w:rPr>
          <w:color w:val="0e1b3d"/>
          <w:sz w:val="21"/>
          <w:szCs w:val="21"/>
        </w:rPr>
        <w:t xml:space="preserve">Cours structuré (si mode école activé) — lecteur vidéo, sommaire sections/leçons, notes horodatées, progression, quiz final.</w:t>
      </w:r>
    </w:p>
    <w:p>
      <w:pPr>
        <w:pStyle w:val="ListParagraph"/>
        <w:numPr>
          <w:ilvl w:val="0"/>
          <w:numId w:val="2"/>
        </w:numPr>
        <w:spacing w:after="90"/>
      </w:pPr>
      <w:r>
        <w:rPr>
          <w:color w:val="0e1b3d"/>
          <w:sz w:val="21"/>
          <w:szCs w:val="21"/>
        </w:rPr>
        <w:t xml:space="preserve">Profil — édition des infos, préférences de notification, sécurité, export de données RGPD, suppression de compte, changement d'email vérifié par code.</w:t>
      </w:r>
    </w:p>
    <w:p>
      <w:pPr>
        <w:pStyle w:val="Heading2"/>
        <w:spacing w:after="120" w:before="300"/>
      </w:pPr>
      <w:r>
        <w:rPr>
          <w:b/>
          <w:bCs/>
          <w:color w:val="1f4fd8"/>
          <w:sz w:val="26"/>
          <w:szCs w:val="26"/>
        </w:rPr>
        <w:t xml:space="preserve">1.4 Espace Formateur</w:t>
      </w:r>
    </w:p>
    <w:p>
      <w:pPr>
        <w:pStyle w:val="ListParagraph"/>
        <w:numPr>
          <w:ilvl w:val="0"/>
          <w:numId w:val="2"/>
        </w:numPr>
        <w:spacing w:after="90"/>
      </w:pPr>
      <w:r>
        <w:rPr>
          <w:color w:val="0e1b3d"/>
          <w:sz w:val="21"/>
          <w:szCs w:val="21"/>
        </w:rPr>
        <w:t xml:space="preserve">Tableau de bord — revenus (total/mois, variation), ventes, notes, solde du portefeuille, ressources publiées, inscriptions, membres de communauté, transactions récentes.</w:t>
      </w:r>
    </w:p>
    <w:p>
      <w:pPr>
        <w:pStyle w:val="ListParagraph"/>
        <w:numPr>
          <w:ilvl w:val="0"/>
          <w:numId w:val="2"/>
        </w:numPr>
        <w:spacing w:after="90"/>
      </w:pPr>
      <w:r>
        <w:rPr>
          <w:color w:val="0e1b3d"/>
          <w:sz w:val="21"/>
          <w:szCs w:val="21"/>
        </w:rPr>
        <w:t xml:space="preserve">Gestion des ressources — création/édition avec upload direct (jusqu'à 2 Go), types image/vidéo/PDF/livre, prix minimum 500 FCFA, commission 15 %, publication ou brouillon.</w:t>
      </w:r>
    </w:p>
    <w:p>
      <w:pPr>
        <w:pStyle w:val="ListParagraph"/>
        <w:numPr>
          <w:ilvl w:val="0"/>
          <w:numId w:val="2"/>
        </w:numPr>
        <w:spacing w:after="90"/>
      </w:pPr>
      <w:r>
        <w:rPr>
          <w:color w:val="0e1b3d"/>
          <w:sz w:val="21"/>
          <w:szCs w:val="21"/>
        </w:rPr>
        <w:t xml:space="preserve">Revenus — détail par ressource, ventes par provenance (recherche, profil, réseaux sociaux, accueil, direct, autres), historique des versements, demande de retrait Mobile Money/banque.</w:t>
      </w:r>
    </w:p>
    <w:p>
      <w:pPr>
        <w:pStyle w:val="ListParagraph"/>
        <w:numPr>
          <w:ilvl w:val="0"/>
          <w:numId w:val="2"/>
        </w:numPr>
        <w:spacing w:after="90"/>
      </w:pPr>
      <w:r>
        <w:rPr>
          <w:color w:val="0e1b3d"/>
          <w:sz w:val="21"/>
          <w:szCs w:val="21"/>
        </w:rPr>
        <w:t xml:space="preserve">Abonnement SaaS formateur — statut (actif/impayé/suspendu/résilié), moyen de paiement Stripe par défaut, factures téléchargeables, plans mensuel/annuel.</w:t>
      </w:r>
    </w:p>
    <w:p>
      <w:pPr>
        <w:pStyle w:val="ListParagraph"/>
        <w:numPr>
          <w:ilvl w:val="0"/>
          <w:numId w:val="2"/>
        </w:numPr>
        <w:spacing w:after="90"/>
      </w:pPr>
      <w:r>
        <w:rPr>
          <w:color w:val="0e1b3d"/>
          <w:sz w:val="21"/>
          <w:szCs w:val="21"/>
        </w:rPr>
        <w:t xml:space="preserve">Communauté — paramètres (nom, description, règles, prix, forum/broadcast, activation messagerie/ressources/événements), gestion des posts (épingler, supprimer).</w:t>
      </w:r>
    </w:p>
    <w:p>
      <w:pPr>
        <w:pStyle w:val="ListParagraph"/>
        <w:numPr>
          <w:ilvl w:val="0"/>
          <w:numId w:val="2"/>
        </w:numPr>
        <w:spacing w:after="90"/>
      </w:pPr>
      <w:r>
        <w:rPr>
          <w:color w:val="0e1b3d"/>
          <w:sz w:val="21"/>
          <w:szCs w:val="21"/>
        </w:rPr>
        <w:t xml:space="preserve">Invitations communauté — envoi unique ou en masse par email, suivi des statuts (en attente/acceptée/révoquée/expirée), renvoi en cas d'échec.</w:t>
      </w:r>
    </w:p>
    <w:p>
      <w:pPr>
        <w:pStyle w:val="ListParagraph"/>
        <w:numPr>
          <w:ilvl w:val="0"/>
          <w:numId w:val="2"/>
        </w:numPr>
        <w:spacing w:after="90"/>
      </w:pPr>
      <w:r>
        <w:rPr>
          <w:color w:val="0e1b3d"/>
          <w:sz w:val="21"/>
          <w:szCs w:val="21"/>
        </w:rPr>
        <w:t xml:space="preserve">Membres &amp; apprenants — liste avec statut (actif/diplômé/à risque/inactif), recherche, filtre par cours, export.</w:t>
      </w:r>
    </w:p>
    <w:p>
      <w:pPr>
        <w:pStyle w:val="ListParagraph"/>
        <w:numPr>
          <w:ilvl w:val="0"/>
          <w:numId w:val="2"/>
        </w:numPr>
        <w:spacing w:after="90"/>
      </w:pPr>
      <w:r>
        <w:rPr>
          <w:color w:val="0e1b3d"/>
          <w:sz w:val="21"/>
          <w:szCs w:val="21"/>
        </w:rPr>
        <w:t xml:space="preserve">Lives — programmation, salle live LiveKit en rôle diffuseur (caméra/micro, partage d'écran, bouton « Terminer le live »).</w:t>
      </w:r>
    </w:p>
    <w:p>
      <w:pPr>
        <w:pStyle w:val="ListParagraph"/>
        <w:numPr>
          <w:ilvl w:val="0"/>
          <w:numId w:val="2"/>
        </w:numPr>
        <w:spacing w:after="90"/>
      </w:pPr>
      <w:r>
        <w:rPr>
          <w:color w:val="0e1b3d"/>
          <w:sz w:val="21"/>
          <w:szCs w:val="21"/>
        </w:rPr>
        <w:t xml:space="preserve">Replays — gestion des enregistrements de lives.</w:t>
      </w:r>
    </w:p>
    <w:p>
      <w:pPr>
        <w:pStyle w:val="ListParagraph"/>
        <w:numPr>
          <w:ilvl w:val="0"/>
          <w:numId w:val="2"/>
        </w:numPr>
        <w:spacing w:after="90"/>
      </w:pPr>
      <w:r>
        <w:rPr>
          <w:color w:val="0e1b3d"/>
          <w:sz w:val="21"/>
          <w:szCs w:val="21"/>
        </w:rPr>
        <w:t xml:space="preserve">Analytics — séries temporelles de ventes, provenance des ventes, indicateurs ressources/communauté.</w:t>
      </w:r>
    </w:p>
    <w:p>
      <w:pPr>
        <w:pStyle w:val="Heading2"/>
        <w:spacing w:after="120" w:before="300"/>
      </w:pPr>
      <w:r>
        <w:rPr>
          <w:b/>
          <w:bCs/>
          <w:color w:val="1f4fd8"/>
          <w:sz w:val="26"/>
          <w:szCs w:val="26"/>
        </w:rPr>
        <w:t xml:space="preserve">1.5 Espace Admin</w:t>
      </w:r>
    </w:p>
    <w:p>
      <w:pPr>
        <w:pStyle w:val="ListParagraph"/>
        <w:numPr>
          <w:ilvl w:val="0"/>
          <w:numId w:val="2"/>
        </w:numPr>
        <w:spacing w:after="90"/>
      </w:pPr>
      <w:r>
        <w:rPr>
          <w:color w:val="0e1b3d"/>
          <w:sz w:val="21"/>
          <w:szCs w:val="21"/>
        </w:rPr>
        <w:t xml:space="preserve">Tableau de bord adapté au sous-rôle (Super-admin, Finances, Modération) — indicateurs plateforme, GMV, file d'attente, top formateurs.</w:t>
      </w:r>
    </w:p>
    <w:p>
      <w:pPr>
        <w:pStyle w:val="ListParagraph"/>
        <w:numPr>
          <w:ilvl w:val="0"/>
          <w:numId w:val="2"/>
        </w:numPr>
        <w:spacing w:after="90"/>
      </w:pPr>
      <w:r>
        <w:rPr>
          <w:color w:val="0e1b3d"/>
          <w:sz w:val="21"/>
          <w:szCs w:val="21"/>
        </w:rPr>
        <w:t xml:space="preserve">Finance — vue d'ensemble revenu/commission par provider, transactions, payouts (approbation/rejet), remboursements (file d'attente, résolution), abonnements (SaaS + communautés, suspendre/réactiver/annuler), rapports (mensuel/formateur/canal, export CSV/XLSX/PDF, planification d'envoi).</w:t>
      </w:r>
    </w:p>
    <w:p>
      <w:pPr>
        <w:pStyle w:val="ListParagraph"/>
        <w:numPr>
          <w:ilvl w:val="0"/>
          <w:numId w:val="2"/>
        </w:numPr>
        <w:spacing w:after="90"/>
      </w:pPr>
      <w:r>
        <w:rPr>
          <w:color w:val="0e1b3d"/>
          <w:sz w:val="21"/>
          <w:szCs w:val="21"/>
        </w:rPr>
        <w:t xml:space="preserve">Modération — règles (seuils de signalement, mots bannis), signalements (retirer/examiner/ignorer), ressources en attente (publier/dépublier), interactions (forum, avis, messages privés signalés).</w:t>
      </w:r>
    </w:p>
    <w:p>
      <w:pPr>
        <w:pStyle w:val="ListParagraph"/>
        <w:numPr>
          <w:ilvl w:val="0"/>
          <w:numId w:val="2"/>
        </w:numPr>
        <w:spacing w:after="90"/>
      </w:pPr>
      <w:r>
        <w:rPr>
          <w:color w:val="0e1b3d"/>
          <w:sz w:val="21"/>
          <w:szCs w:val="21"/>
        </w:rPr>
        <w:t xml:space="preserve">Utilisateurs — liste filtrable (rôle, statut), suspension motivée, export CSV.</w:t>
      </w:r>
    </w:p>
    <w:p>
      <w:pPr>
        <w:pStyle w:val="ListParagraph"/>
        <w:numPr>
          <w:ilvl w:val="0"/>
          <w:numId w:val="2"/>
        </w:numPr>
        <w:spacing w:after="90"/>
      </w:pPr>
      <w:r>
        <w:rPr>
          <w:color w:val="0e1b3d"/>
          <w:sz w:val="21"/>
          <w:szCs w:val="21"/>
        </w:rPr>
        <w:t xml:space="preserve">Formateurs — validation des candidatures (approuver/rejeter/demander des informations).</w:t>
      </w:r>
    </w:p>
    <w:p>
      <w:pPr>
        <w:pStyle w:val="ListParagraph"/>
        <w:numPr>
          <w:ilvl w:val="0"/>
          <w:numId w:val="2"/>
        </w:numPr>
        <w:spacing w:after="90"/>
      </w:pPr>
      <w:r>
        <w:rPr>
          <w:color w:val="0e1b3d"/>
          <w:sz w:val="21"/>
          <w:szCs w:val="21"/>
        </w:rPr>
        <w:t xml:space="preserve">Équipe admin — invitation de sous-admins par sous-rôle, matrice de permissions, révocation.</w:t>
      </w:r>
    </w:p>
    <w:p>
      <w:pPr>
        <w:pStyle w:val="ListParagraph"/>
        <w:numPr>
          <w:ilvl w:val="0"/>
          <w:numId w:val="2"/>
        </w:numPr>
        <w:spacing w:after="90"/>
      </w:pPr>
      <w:r>
        <w:rPr>
          <w:color w:val="0e1b3d"/>
          <w:sz w:val="21"/>
          <w:szCs w:val="21"/>
        </w:rPr>
        <w:t xml:space="preserve">Système — santé API/DB, files d'attente en attente, journal d'événements de sécurité, état des providers tiers.</w:t>
      </w:r>
    </w:p>
    <w:p>
      <w:pPr>
        <w:pStyle w:val="ListParagraph"/>
        <w:numPr>
          <w:ilvl w:val="0"/>
          <w:numId w:val="2"/>
        </w:numPr>
        <w:spacing w:after="90"/>
      </w:pPr>
      <w:r>
        <w:rPr>
          <w:color w:val="0e1b3d"/>
          <w:sz w:val="21"/>
          <w:szCs w:val="21"/>
        </w:rPr>
        <w:t xml:space="preserve">Configuration — mode maintenance, taux de commission, seuil minimum de retrait, activation des providers de paiement, plans SaaS, images éditoriales de la home.</w:t>
      </w:r>
    </w:p>
    <w:p>
      <w:pPr>
        <w:pStyle w:val="ListParagraph"/>
        <w:numPr>
          <w:ilvl w:val="0"/>
          <w:numId w:val="2"/>
        </w:numPr>
        <w:spacing w:after="90"/>
      </w:pPr>
      <w:r>
        <w:rPr>
          <w:color w:val="0e1b3d"/>
          <w:sz w:val="21"/>
          <w:szCs w:val="21"/>
        </w:rPr>
        <w:t xml:space="preserve">Communication — diffusion broadcast (email / in-app / les deux) par segment, planification d'envoi.</w:t>
      </w:r>
    </w:p>
    <w:p>
      <w:pPr>
        <w:pStyle w:val="ListParagraph"/>
        <w:numPr>
          <w:ilvl w:val="0"/>
          <w:numId w:val="2"/>
        </w:numPr>
        <w:spacing w:after="90"/>
      </w:pPr>
      <w:r>
        <w:rPr>
          <w:color w:val="0e1b3d"/>
          <w:sz w:val="21"/>
          <w:szCs w:val="21"/>
        </w:rPr>
        <w:t xml:space="preserve">Audit — journal des actions admin filtrable par catégorie.</w:t>
      </w:r>
    </w:p>
    <w:p>
      <w:pPr>
        <w:pStyle w:val="ListParagraph"/>
        <w:numPr>
          <w:ilvl w:val="0"/>
          <w:numId w:val="2"/>
        </w:numPr>
        <w:spacing w:after="90"/>
      </w:pPr>
      <w:r>
        <w:rPr>
          <w:color w:val="0e1b3d"/>
          <w:sz w:val="21"/>
          <w:szCs w:val="21"/>
        </w:rPr>
        <w:t xml:space="preserve">Analytics — croissance utilisateurs, GMV mensuel, top formateurs/ressources/communautés, mix des moyens de paiement, cohortes de rétention.</w:t>
      </w:r>
    </w:p>
    <w:p>
      <w:pPr>
        <w:pStyle w:val="Heading2"/>
        <w:spacing w:after="120" w:before="300"/>
      </w:pPr>
      <w:r>
        <w:rPr>
          <w:b/>
          <w:bCs/>
          <w:color w:val="1f4fd8"/>
          <w:sz w:val="26"/>
          <w:szCs w:val="26"/>
        </w:rPr>
        <w:t xml:space="preserve">1.6 Paiement &amp; transversal</w:t>
      </w:r>
    </w:p>
    <w:p>
      <w:pPr>
        <w:pStyle w:val="ListParagraph"/>
        <w:numPr>
          <w:ilvl w:val="0"/>
          <w:numId w:val="2"/>
        </w:numPr>
        <w:spacing w:after="90"/>
      </w:pPr>
      <w:r>
        <w:rPr>
          <w:color w:val="0e1b3d"/>
          <w:sz w:val="21"/>
          <w:szCs w:val="21"/>
        </w:rPr>
        <w:t xml:space="preserve">Deux providers de paiement — Stripe (carte, EUR) et CinetPay (Mobile Money : Wave, Orange, MTN, Airtel, en XOF), pour achats unitaires et abonnements.</w:t>
      </w:r>
    </w:p>
    <w:p>
      <w:pPr>
        <w:pStyle w:val="ListParagraph"/>
        <w:numPr>
          <w:ilvl w:val="0"/>
          <w:numId w:val="2"/>
        </w:numPr>
        <w:spacing w:after="90"/>
      </w:pPr>
      <w:r>
        <w:rPr>
          <w:color w:val="0e1b3d"/>
          <w:sz w:val="21"/>
          <w:szCs w:val="21"/>
        </w:rPr>
        <w:t xml:space="preserve">Pages de confirmation de paiement avec réconciliation par polling (jamais de confiance sur le seul redirect).</w:t>
      </w:r>
    </w:p>
    <w:p>
      <w:pPr>
        <w:pStyle w:val="ListParagraph"/>
        <w:numPr>
          <w:ilvl w:val="0"/>
          <w:numId w:val="2"/>
        </w:numPr>
        <w:spacing w:after="90"/>
      </w:pPr>
      <w:r>
        <w:rPr>
          <w:color w:val="0e1b3d"/>
          <w:sz w:val="21"/>
          <w:szCs w:val="21"/>
        </w:rPr>
        <w:t xml:space="preserve">Facture PDF générée à la volée côté backend, téléchargée en pièce jointe.</w:t>
      </w:r>
    </w:p>
    <w:p>
      <w:pPr>
        <w:pStyle w:val="ListParagraph"/>
        <w:numPr>
          <w:ilvl w:val="0"/>
          <w:numId w:val="2"/>
        </w:numPr>
        <w:spacing w:after="90"/>
      </w:pPr>
      <w:r>
        <w:rPr>
          <w:color w:val="0e1b3d"/>
          <w:sz w:val="21"/>
          <w:szCs w:val="21"/>
        </w:rPr>
        <w:t xml:space="preserve">Tracking de la provenance des ventes, exploité dans les revenus formateur et l'analytics admin.</w:t>
      </w:r>
    </w:p>
    <w:p>
      <w:r>
        <w:br w:type="page"/>
      </w:r>
    </w:p>
    <w:p>
      <w:pPr>
        <w:pStyle w:val="Heading1"/>
        <w:pBdr>
          <w:bottom w:val="single" w:color="1f4fd8" w:sz="12" w:space="4"/>
        </w:pBdr>
        <w:spacing w:after="200" w:before="400"/>
      </w:pPr>
      <w:r>
        <w:rPr>
          <w:b/>
          <w:bCs/>
          <w:color w:val="0e1b3d"/>
          <w:sz w:val="32"/>
          <w:szCs w:val="32"/>
        </w:rPr>
        <w:t xml:space="preserve">2. Comparaison avec la maquette « Nkamva-M »</w:t>
      </w:r>
    </w:p>
    <w:p>
      <w:pPr>
        <w:spacing w:after="120"/>
      </w:pPr>
      <w:r>
        <w:rPr>
          <w:i/>
          <w:iCs/>
          <w:color w:val="0e1b3d"/>
          <w:sz w:val="21"/>
          <w:szCs w:val="21"/>
        </w:rPr>
        <w:t xml:space="preserve">La maquette (dossier Nkamva-M, export statique depuis Claude Design Canvas) sert de référence design pour les évolutions futures. Elle compte 75 écrans répartis en 6 espaces (Visiteur, Apprenant, Formateur, Super-admin, Finance, Modération). La comparaison ci-dessous porte uniquement sur les écarts FONCTIONNELS (ce que l'utilisateur peut faire ou voir) — les différences purement visuelles ne sont pas listées.</w:t>
      </w:r>
    </w:p>
    <w:p>
      <w:pPr>
        <w:pStyle w:val="Heading2"/>
        <w:spacing w:after="120" w:before="300"/>
      </w:pPr>
      <w:r>
        <w:rPr>
          <w:b/>
          <w:bCs/>
          <w:color w:val="1f4fd8"/>
          <w:sz w:val="26"/>
          <w:szCs w:val="26"/>
        </w:rPr>
        <w:t xml:space="preserve">2.1 Visiteur — conforme, voire en avance</w:t>
      </w:r>
    </w:p>
    <w:p>
      <w:pPr>
        <w:pStyle w:val="ListParagraph"/>
        <w:numPr>
          <w:ilvl w:val="0"/>
          <w:numId w:val="3"/>
        </w:numPr>
        <w:spacing w:after="90"/>
      </w:pPr>
      <w:r>
        <w:rPr>
          <w:color w:val="0e1b3d"/>
          <w:sz w:val="21"/>
          <w:szCs w:val="21"/>
        </w:rPr>
        <w:t xml:space="preserve">Aucune page sans équivalent réel. Tarifs et FAQ commission/remboursement sont déjà résolus côté réel (commission 15 %, remboursement 14 jours / moins de 30 % consulté) alors que la maquette contient encore des placeholders "à remplacer" sur ces mêmes valeurs — c'est la maquette qui est en retard, pas le produit.</w:t>
      </w:r>
    </w:p>
    <w:p>
      <w:pPr>
        <w:pStyle w:val="ListParagraph"/>
        <w:numPr>
          <w:ilvl w:val="0"/>
          <w:numId w:val="3"/>
        </w:numPr>
        <w:spacing w:after="90"/>
      </w:pPr>
      <w:r>
        <w:rPr>
          <w:color w:val="0e1b3d"/>
          <w:sz w:val="21"/>
          <w:szCs w:val="21"/>
        </w:rPr>
        <w:t xml:space="preserve">Écart mineur : le formulaire de contact réel propose 5 sujets contre 6 dans la maquette — « Signaler un contenu » n'existe pas encore comme motif de contact dédié.</w:t>
      </w:r>
    </w:p>
    <w:p>
      <w:pPr>
        <w:pStyle w:val="Heading2"/>
        <w:spacing w:after="120" w:before="300"/>
      </w:pPr>
      <w:r>
        <w:rPr>
          <w:b/>
          <w:bCs/>
          <w:color w:val="1f4fd8"/>
          <w:sz w:val="26"/>
          <w:szCs w:val="26"/>
        </w:rPr>
        <w:t xml:space="preserve">2.2 Apprenant — parité complète, réel plus avancé sur le profil</w:t>
      </w:r>
    </w:p>
    <w:p>
      <w:pPr>
        <w:pStyle w:val="ListParagraph"/>
        <w:numPr>
          <w:ilvl w:val="0"/>
          <w:numId w:val="3"/>
        </w:numPr>
        <w:spacing w:after="90"/>
      </w:pPr>
      <w:r>
        <w:rPr>
          <w:color w:val="0e1b3d"/>
          <w:sz w:val="21"/>
          <w:szCs w:val="21"/>
        </w:rPr>
        <w:t xml:space="preserve">Le profil réel est plus complet que la maquette : changement de photo, export de données RGPD et suppression de compte sont déjà actifs dans le code, alors que la maquette les affiche encore comme des boutons désactivés (« bientôt »). Seul le changement de mot de passe reste désactivé des deux côtés.</w:t>
      </w:r>
    </w:p>
    <w:p>
      <w:pPr>
        <w:pStyle w:val="ListParagraph"/>
        <w:numPr>
          <w:ilvl w:val="0"/>
          <w:numId w:val="3"/>
        </w:numPr>
        <w:spacing w:after="90"/>
      </w:pPr>
      <w:r>
        <w:rPr>
          <w:color w:val="0e1b3d"/>
          <w:sz w:val="21"/>
          <w:szCs w:val="21"/>
        </w:rPr>
        <w:t xml:space="preserve">Aucun autre écart fonctionnel net identifié sur cet espace.</w:t>
      </w:r>
    </w:p>
    <w:p>
      <w:pPr>
        <w:pStyle w:val="Heading2"/>
        <w:spacing w:after="120" w:before="300"/>
      </w:pPr>
      <w:r>
        <w:rPr>
          <w:b/>
          <w:bCs/>
          <w:color w:val="1f4fd8"/>
          <w:sz w:val="26"/>
          <w:szCs w:val="26"/>
        </w:rPr>
        <w:t xml:space="preserve">2.3 Formateur — réel plus riche sur l'abonnement, écart structurel sur l'onboarding</w:t>
      </w:r>
    </w:p>
    <w:p>
      <w:pPr>
        <w:pStyle w:val="ListParagraph"/>
        <w:numPr>
          <w:ilvl w:val="0"/>
          <w:numId w:val="3"/>
        </w:numPr>
        <w:spacing w:after="90"/>
      </w:pPr>
      <w:r>
        <w:rPr>
          <w:color w:val="0e1b3d"/>
          <w:sz w:val="21"/>
          <w:szCs w:val="21"/>
        </w:rPr>
        <w:t xml:space="preserve">La page d'abonnement formateur réelle est plus riche que la maquette (bannières de régularisation, historique de factures PDF, gestion du moyen de paiement).</w:t>
      </w:r>
    </w:p>
    <w:p>
      <w:pPr>
        <w:pStyle w:val="ListParagraph"/>
        <w:numPr>
          <w:ilvl w:val="0"/>
          <w:numId w:val="3"/>
        </w:numPr>
        <w:spacing w:after="90"/>
      </w:pPr>
      <w:r>
        <w:rPr>
          <w:color w:val="0e1b3d"/>
          <w:sz w:val="21"/>
          <w:szCs w:val="21"/>
        </w:rPr>
        <w:t xml:space="preserve">Point structurel à clarifier : le parcours réel d'inscription formateur est scindé en deux étapes (inscription légère sans document, puis candidature séparée avec upload pièce d'identité/diplôme/vidéo). La maquette demande pièce d'identité ET RIB / Mobile Money dès l'inscription en une seule étape — le réel ne collecte donc jamais le RIB pendant l'onboarding. À trancher : est-ce le design cible, ou un résidu de refonte ?</w:t>
      </w:r>
    </w:p>
    <w:p>
      <w:pPr>
        <w:pStyle w:val="Heading2"/>
        <w:spacing w:after="120" w:before="300"/>
      </w:pPr>
      <w:r>
        <w:rPr>
          <w:b/>
          <w:bCs/>
          <w:color w:val="1f4fd8"/>
          <w:sz w:val="26"/>
          <w:szCs w:val="26"/>
        </w:rPr>
        <w:t xml:space="preserve">2.4 Admin / Finance / Modération — écarts fonctionnels les plus nets</w:t>
      </w:r>
    </w:p>
    <w:p>
      <w:pPr>
        <w:pStyle w:val="Heading3"/>
        <w:spacing w:after="80" w:before="200"/>
      </w:pPr>
      <w:r>
        <w:rPr>
          <w:b/>
          <w:bCs/>
          <w:color w:val="0e1b3d"/>
          <w:sz w:val="22"/>
          <w:szCs w:val="22"/>
        </w:rPr>
        <w:t xml:space="preserve">Validation des formateurs</w:t>
      </w:r>
    </w:p>
    <w:p>
      <w:pPr>
        <w:pStyle w:val="ListParagraph"/>
        <w:numPr>
          <w:ilvl w:val="0"/>
          <w:numId w:val="3"/>
        </w:numPr>
        <w:spacing w:after="90"/>
      </w:pPr>
      <w:r>
        <w:rPr>
          <w:color w:val="0e1b3d"/>
          <w:sz w:val="21"/>
          <w:szCs w:val="21"/>
        </w:rPr>
        <w:t xml:space="preserve">La maquette montre un vrai dossier de vérification : checklist pièce d'identité / RIB mobile money, modal « Voir le dossier » avec visionneuse de document, modal de rejet avec sélection des documents à corriger et motif, onglets En attente / Approuvés / Rejetés avec statistiques de délai de traitement.</w:t>
      </w:r>
    </w:p>
    <w:p>
      <w:pPr>
        <w:pStyle w:val="ListParagraph"/>
        <w:numPr>
          <w:ilvl w:val="0"/>
          <w:numId w:val="3"/>
        </w:numPr>
        <w:spacing w:after="90"/>
      </w:pPr>
      <w:r>
        <w:rPr>
          <w:color w:val="0e1b3d"/>
          <w:sz w:val="21"/>
          <w:szCs w:val="21"/>
        </w:rPr>
        <w:t xml:space="preserve">Le code réel n'a aucun de ces éléments : le rejet passe par une simple boîte de dialogue texte, et aucune pièce justificative n'est encore stockée côté API (modèle de données "document formateur" pas encore créé).</w:t>
      </w:r>
    </w:p>
    <w:p>
      <w:pPr>
        <w:pStyle w:val="Heading3"/>
        <w:spacing w:after="80" w:before="200"/>
      </w:pPr>
      <w:r>
        <w:rPr>
          <w:b/>
          <w:bCs/>
          <w:color w:val="0e1b3d"/>
          <w:sz w:val="22"/>
          <w:szCs w:val="22"/>
        </w:rPr>
        <w:t xml:space="preserve">Retraits &amp; versements</w:t>
      </w:r>
    </w:p>
    <w:p>
      <w:pPr>
        <w:pStyle w:val="ListParagraph"/>
        <w:numPr>
          <w:ilvl w:val="0"/>
          <w:numId w:val="3"/>
        </w:numPr>
        <w:spacing w:after="90"/>
      </w:pPr>
      <w:r>
        <w:rPr>
          <w:color w:val="0e1b3d"/>
          <w:sz w:val="21"/>
          <w:szCs w:val="21"/>
        </w:rPr>
        <w:t xml:space="preserve">Le badge « Vérifié » KYC est affiché de façon inconditionnelle dans le réel — aucun score de vérification n'est réellement calculé pour l'instant.</w:t>
      </w:r>
    </w:p>
    <w:p>
      <w:pPr>
        <w:pStyle w:val="Heading3"/>
        <w:spacing w:after="80" w:before="200"/>
      </w:pPr>
      <w:r>
        <w:rPr>
          <w:b/>
          <w:bCs/>
          <w:color w:val="0e1b3d"/>
          <w:sz w:val="22"/>
          <w:szCs w:val="22"/>
        </w:rPr>
        <w:t xml:space="preserve">Remboursements &amp; litiges</w:t>
      </w:r>
    </w:p>
    <w:p>
      <w:pPr>
        <w:pStyle w:val="ListParagraph"/>
        <w:numPr>
          <w:ilvl w:val="0"/>
          <w:numId w:val="3"/>
        </w:numPr>
        <w:spacing w:after="90"/>
      </w:pPr>
      <w:r>
        <w:rPr>
          <w:color w:val="0e1b3d"/>
          <w:sz w:val="21"/>
          <w:szCs w:val="21"/>
        </w:rPr>
        <w:t xml:space="preserve">L'onglet « Litiges &amp; chargebacks » visible dans la maquette est un simple texte de réserve côté réel — les litiges ne sont pas encore modélisés en base.</w:t>
      </w:r>
    </w:p>
    <w:p>
      <w:pPr>
        <w:pStyle w:val="ListParagraph"/>
        <w:numPr>
          <w:ilvl w:val="0"/>
          <w:numId w:val="3"/>
        </w:numPr>
        <w:spacing w:after="90"/>
      </w:pPr>
      <w:r>
        <w:rPr>
          <w:color w:val="0e1b3d"/>
          <w:sz w:val="21"/>
          <w:szCs w:val="21"/>
        </w:rPr>
        <w:t xml:space="preserve">Le fil de conversation apprenant/support (« Voir les échanges ») présent dans la maquette n'existe pas : la résolution d'un remboursement se fait par une boîte de dialogue sans historique de messages.</w:t>
      </w:r>
    </w:p>
    <w:p>
      <w:pPr>
        <w:pStyle w:val="Heading3"/>
        <w:spacing w:after="80" w:before="200"/>
      </w:pPr>
      <w:r>
        <w:rPr>
          <w:b/>
          <w:bCs/>
          <w:color w:val="0e1b3d"/>
          <w:sz w:val="22"/>
          <w:szCs w:val="22"/>
        </w:rPr>
        <w:t xml:space="preserve">Utilisateurs</w:t>
      </w:r>
    </w:p>
    <w:p>
      <w:pPr>
        <w:pStyle w:val="ListParagraph"/>
        <w:numPr>
          <w:ilvl w:val="0"/>
          <w:numId w:val="3"/>
        </w:numPr>
        <w:spacing w:after="90"/>
      </w:pPr>
      <w:r>
        <w:rPr>
          <w:color w:val="0e1b3d"/>
          <w:sz w:val="21"/>
          <w:szCs w:val="21"/>
        </w:rPr>
        <w:t xml:space="preserve">Bonne parité fonctionnelle constatée (recherche, filtres, export CSV, invitation, suspension/réactivation) — pas d'écart notable.</w:t>
      </w:r>
    </w:p>
    <w:p>
      <w:pPr>
        <w:pStyle w:val="Heading2"/>
        <w:spacing w:after="120" w:before="300"/>
      </w:pPr>
      <w:r>
        <w:rPr>
          <w:b/>
          <w:bCs/>
          <w:color w:val="1f4fd8"/>
          <w:sz w:val="26"/>
          <w:szCs w:val="26"/>
        </w:rPr>
        <w:t xml:space="preserve">2.5 Synthèse des écarts</w:t>
      </w:r>
    </w:p>
    <w:p>
      <w:pPr>
        <w:spacing w:after="120"/>
      </w:pPr>
      <w:r>
        <w:rPr>
          <w:i w:val="false"/>
          <w:iCs w:val="false"/>
          <w:color w:val="0e1b3d"/>
          <w:sz w:val="21"/>
          <w:szCs w:val="21"/>
        </w:rPr>
        <w:t xml:space="preserve">Les trois écarts identifiés en Admin/Finance (dossier de vérification formateur, score KYC réel, gestion des litiges) partagent la même cause racine : l'absence, côté base de données, d'un modèle pour les documents justificatifs et d'un modèle pour les litiges/chargebacks. Un seul chantier permettrait de combler les trois à la fois.</w:t>
      </w:r>
    </w:p>
    <w:p>
      <w:r>
        <w:br w:type="page"/>
      </w:r>
    </w:p>
    <w:p>
      <w:pPr>
        <w:pStyle w:val="Heading1"/>
        <w:pBdr>
          <w:bottom w:val="single" w:color="1f4fd8" w:sz="12" w:space="4"/>
        </w:pBdr>
        <w:spacing w:after="200" w:before="400"/>
      </w:pPr>
      <w:r>
        <w:rPr>
          <w:b/>
          <w:bCs/>
          <w:color w:val="0e1b3d"/>
          <w:sz w:val="32"/>
          <w:szCs w:val="32"/>
        </w:rPr>
        <w:t xml:space="preserve">3. Points d'action suggérés</w:t>
      </w:r>
    </w:p>
    <w:p>
      <w:pPr>
        <w:pStyle w:val="ListParagraph"/>
        <w:numPr>
          <w:ilvl w:val="0"/>
          <w:numId w:val="2"/>
        </w:numPr>
        <w:spacing w:after="90"/>
      </w:pPr>
      <w:r>
        <w:rPr>
          <w:color w:val="0e1b3d"/>
          <w:sz w:val="21"/>
          <w:szCs w:val="21"/>
        </w:rPr>
        <w:t xml:space="preserve">Prioritaire — modéliser les documents justificatifs formateur (pièce d'identité, diplôme, RIB/mobile money) pour débloquer un vrai flux de validation avec visionneuse, checklist et motif de rejet structuré.</w:t>
      </w:r>
    </w:p>
    <w:p>
      <w:pPr>
        <w:pStyle w:val="ListParagraph"/>
        <w:numPr>
          <w:ilvl w:val="0"/>
          <w:numId w:val="2"/>
        </w:numPr>
        <w:spacing w:after="90"/>
      </w:pPr>
      <w:r>
        <w:rPr>
          <w:color w:val="0e1b3d"/>
          <w:sz w:val="21"/>
          <w:szCs w:val="21"/>
        </w:rPr>
        <w:t xml:space="preserve">Prioritaire — modéliser les litiges/chargebacks (Stripe et CinetPay) pour remplacer le placeholder actuel par un vrai suivi, avec historique de conversation support.</w:t>
      </w:r>
    </w:p>
    <w:p>
      <w:pPr>
        <w:pStyle w:val="ListParagraph"/>
        <w:numPr>
          <w:ilvl w:val="0"/>
          <w:numId w:val="2"/>
        </w:numPr>
        <w:spacing w:after="90"/>
      </w:pPr>
      <w:r>
        <w:rPr>
          <w:color w:val="0e1b3d"/>
          <w:sz w:val="21"/>
          <w:szCs w:val="21"/>
        </w:rPr>
        <w:t xml:space="preserve">Moyen terme — calculer un score KYC réel sur les payouts plutôt que d'afficher un badge « Vérifié » systématique.</w:t>
      </w:r>
    </w:p>
    <w:p>
      <w:pPr>
        <w:pStyle w:val="ListParagraph"/>
        <w:numPr>
          <w:ilvl w:val="0"/>
          <w:numId w:val="2"/>
        </w:numPr>
        <w:spacing w:after="90"/>
      </w:pPr>
      <w:r>
        <w:rPr>
          <w:color w:val="0e1b3d"/>
          <w:sz w:val="21"/>
          <w:szCs w:val="21"/>
        </w:rPr>
        <w:t xml:space="preserve">À trancher côté produit — unifier ou clarifier le parcours d'inscription formateur (inscription légère + candidature séparée) vis-à-vis de la maquette qui prévoit une collecte de RIB dès l'inscription.</w:t>
      </w:r>
    </w:p>
    <w:p>
      <w:pPr>
        <w:pStyle w:val="ListParagraph"/>
        <w:numPr>
          <w:ilvl w:val="0"/>
          <w:numId w:val="2"/>
        </w:numPr>
        <w:spacing w:after="90"/>
      </w:pPr>
      <w:r>
        <w:rPr>
          <w:color w:val="0e1b3d"/>
          <w:sz w:val="21"/>
          <w:szCs w:val="21"/>
        </w:rPr>
        <w:t xml:space="preserve">Cosmétique — ajouter le motif « Signaler un contenu » au formulaire de contact public, pour matcher la maquette.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2026-07-22T21:07:31.378Z</dcterms:created>
  <dcterms:modified xsi:type="dcterms:W3CDTF">2026-07-22T21:07:31.387Z</dcterms:modified>
</cp:coreProperties>
</file>

<file path=docProps/custom.xml><?xml version="1.0" encoding="utf-8"?>
<Properties xmlns="http://schemas.openxmlformats.org/officeDocument/2006/custom-properties" xmlns:vt="http://schemas.openxmlformats.org/officeDocument/2006/docPropsVTypes"/>
</file>