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D228" w14:textId="77777777" w:rsidR="00C95297" w:rsidRPr="00C95297" w:rsidRDefault="00C95297" w:rsidP="00C95297">
      <w:pPr>
        <w:rPr>
          <w:rFonts w:hint="eastAsia"/>
          <w:b w:val="0"/>
          <w:bCs w:val="0"/>
        </w:rPr>
      </w:pPr>
      <w:r w:rsidRPr="00C95297">
        <w:rPr>
          <w:rFonts w:hint="eastAsia"/>
          <w:b w:val="0"/>
          <w:bCs w:val="0"/>
        </w:rPr>
        <w:t>1</w:t>
      </w:r>
      <w:r w:rsidRPr="00C95297">
        <w:rPr>
          <w:rFonts w:hint="eastAsia"/>
          <w:b w:val="0"/>
          <w:bCs w:val="0"/>
        </w:rPr>
        <w:t>中国中车集团有限公司进一步深化科技体制改革实施方案为贯彻党的二十大及二十届二中、三中全会精神，落实国家进一步深化科技体制改革要求，依据中国中车进一步全面深化改革实施方案，结合公司发展战略与科技创新实际，聚焦创新资源显著集聚、创新体系显著完善、创新能力显著提升、创新效率显著提高、创新成果显著转化“五个显著”，进一步深化科技体制改革，支撑轨道交通装备全面领先、全链领跑，清洁能源装备全面先进、全链领先“四全目标”实现，为世界一流中车提供强大科技支撑，制定本方案。一、进一步深化科技体制改革的重大意义和总体要求</w:t>
      </w:r>
      <w:r w:rsidRPr="00C95297">
        <w:rPr>
          <w:rFonts w:hint="eastAsia"/>
          <w:b w:val="0"/>
          <w:bCs w:val="0"/>
        </w:rPr>
        <w:t>1.</w:t>
      </w:r>
      <w:r w:rsidRPr="00C95297">
        <w:rPr>
          <w:rFonts w:hint="eastAsia"/>
          <w:b w:val="0"/>
          <w:bCs w:val="0"/>
        </w:rPr>
        <w:t>进一步深化科技体制改革的重大意义新中车以来，勇当改革的先行者和试验田，先后开展两轮科技体制改革，其中第一轮改革（</w:t>
      </w:r>
      <w:r w:rsidRPr="00C95297">
        <w:rPr>
          <w:rFonts w:hint="eastAsia"/>
          <w:b w:val="0"/>
          <w:bCs w:val="0"/>
        </w:rPr>
        <w:t>2016-2018</w:t>
      </w:r>
      <w:r w:rsidRPr="00C95297">
        <w:rPr>
          <w:rFonts w:hint="eastAsia"/>
          <w:b w:val="0"/>
          <w:bCs w:val="0"/>
        </w:rPr>
        <w:t>）打造了“五位一体”的创新组织模式，第二轮改革（</w:t>
      </w:r>
      <w:r w:rsidRPr="00C95297">
        <w:rPr>
          <w:rFonts w:hint="eastAsia"/>
          <w:b w:val="0"/>
          <w:bCs w:val="0"/>
        </w:rPr>
        <w:t>2019-2024</w:t>
      </w:r>
      <w:r w:rsidRPr="00C95297">
        <w:rPr>
          <w:rFonts w:hint="eastAsia"/>
          <w:b w:val="0"/>
          <w:bCs w:val="0"/>
        </w:rPr>
        <w:t>）搭建了“两纵两横一贯通”的创新体系，科技创新有效支撑产业创新，高铁技术树起国际标杆。但面对新的形势和任务要求，必须进一步深化科技体制改革，建成以“五个显著”为特征和着力点的创新体系，健全和完善支持全面创新的制度体系，强力支撑中车高质量发展。从外部环境变化看，世界各国科技竞争之激烈前所未有，</w:t>
      </w:r>
    </w:p>
    <w:p w14:paraId="3D034CC8" w14:textId="77777777" w:rsidR="00C95297" w:rsidRPr="00C95297" w:rsidRDefault="00C95297" w:rsidP="00C95297">
      <w:pPr>
        <w:rPr>
          <w:rFonts w:hint="eastAsia"/>
          <w:b w:val="0"/>
          <w:bCs w:val="0"/>
        </w:rPr>
      </w:pPr>
      <w:r w:rsidRPr="00C95297">
        <w:rPr>
          <w:rFonts w:hint="eastAsia"/>
          <w:b w:val="0"/>
          <w:bCs w:val="0"/>
        </w:rPr>
        <w:t>2</w:t>
      </w:r>
      <w:r w:rsidRPr="00C95297">
        <w:rPr>
          <w:rFonts w:hint="eastAsia"/>
          <w:b w:val="0"/>
          <w:bCs w:val="0"/>
        </w:rPr>
        <w:t>国家把科技创新摆在发展全局的核心位置，对国企改革创新提出明确要求。必须强化企业创新主体地位，加强原创技术供给，培育和发展新质生产力，加快打造国家战略科技力量。从中车发展战略看，支撑“双赛道双集群”产业发展格局，推动轨道交通装备产业升级、战新产业壮大、未来产业培育，支撑新技术、新业态、新模式发展，科技创新面临诸多挑战。必须加快科技创新与产业创新深度融合，推动高质量发展。从科技创新本身看，以数字化、智能化、绿色化为特征的新一轮科技革命深入发展，科研范式变革正在重塑科技创新发展格局。必须加快完善科技创新体系，推动企业科技创新治理体系和能力现代化。</w:t>
      </w:r>
      <w:r w:rsidRPr="00C95297">
        <w:rPr>
          <w:rFonts w:hint="eastAsia"/>
          <w:b w:val="0"/>
          <w:bCs w:val="0"/>
        </w:rPr>
        <w:t>2.</w:t>
      </w:r>
      <w:r w:rsidRPr="00C95297">
        <w:rPr>
          <w:rFonts w:hint="eastAsia"/>
          <w:b w:val="0"/>
          <w:bCs w:val="0"/>
        </w:rPr>
        <w:t>进一步深化科技体制改革的指导思想以习近平新时代中国特色社会主义思想为指导，贯彻落实国务院国资委和集团改革工作要求，聚焦“五个显著”，构建全面支撑“一核两商一流”战略定位和“双赛道双集群”产业发展格局的创新体制机制，加快原创技术供给，提升创新体系效能，加速科技成果转化，推动科技创新与产业创新深度融合，以科技强企助力科技强国，勇当推动高水平科技自立自强、建设现代化产业体系、发展新质生产力“三个排头兵”。</w:t>
      </w:r>
      <w:r w:rsidRPr="00C95297">
        <w:rPr>
          <w:rFonts w:hint="eastAsia"/>
          <w:b w:val="0"/>
          <w:bCs w:val="0"/>
        </w:rPr>
        <w:t>3.</w:t>
      </w:r>
      <w:r w:rsidRPr="00C95297">
        <w:rPr>
          <w:rFonts w:hint="eastAsia"/>
          <w:b w:val="0"/>
          <w:bCs w:val="0"/>
        </w:rPr>
        <w:t>进一步深化科技体制改革的基本原则贯彻落实国家战略部署，发挥中车产品、技术、产业链、人才、市场、品牌“六个优势”，强化战略导向、目标导向、问</w:t>
      </w:r>
    </w:p>
    <w:p w14:paraId="42A55F0F" w14:textId="77777777" w:rsidR="00C95297" w:rsidRPr="00C95297" w:rsidRDefault="00C95297" w:rsidP="00C95297">
      <w:pPr>
        <w:rPr>
          <w:rFonts w:hint="eastAsia"/>
          <w:b w:val="0"/>
          <w:bCs w:val="0"/>
        </w:rPr>
      </w:pPr>
      <w:r w:rsidRPr="00C95297">
        <w:rPr>
          <w:rFonts w:hint="eastAsia"/>
          <w:b w:val="0"/>
          <w:bCs w:val="0"/>
        </w:rPr>
        <w:t>3</w:t>
      </w:r>
      <w:r w:rsidRPr="00C95297">
        <w:rPr>
          <w:rFonts w:hint="eastAsia"/>
          <w:b w:val="0"/>
          <w:bCs w:val="0"/>
        </w:rPr>
        <w:t>题导向，做到任务可量化，过程可评价，举措可落地，成果能见效。——坚持党的领导。加强党委对科技工作统一领导，坚持党委在重要事项决策中把方向、管大局、保落实的领导作用。——坚持战略引领。坚持“四个面向”，聚焦科技创新与产业创新深度融合，加强科技体制改革全链条部署、全领域布局。——坚持系统推进。强化顶层设计和计划落实，从资源、体系、能力、效率、转化等方面统筹制定改革举措，系统推进落实。——坚持重点突破。聚焦痛点难点问题，加大重点领域和关键环节的改革突破力度，以点带面，确保改革取得实效。</w:t>
      </w:r>
      <w:r w:rsidRPr="00C95297">
        <w:rPr>
          <w:rFonts w:hint="eastAsia"/>
          <w:b w:val="0"/>
          <w:bCs w:val="0"/>
        </w:rPr>
        <w:t>4.</w:t>
      </w:r>
      <w:r w:rsidRPr="00C95297">
        <w:rPr>
          <w:rFonts w:hint="eastAsia"/>
          <w:b w:val="0"/>
          <w:bCs w:val="0"/>
        </w:rPr>
        <w:t>进一步深化科技体制改革的工作目标推动实施“一改两强两优化”重点改革任务，做到“五个显著”，支撑“双赛道双集群”“四全目标”实现，具体分两步走。第一步（</w:t>
      </w:r>
      <w:r w:rsidRPr="00C95297">
        <w:rPr>
          <w:rFonts w:hint="eastAsia"/>
          <w:b w:val="0"/>
          <w:bCs w:val="0"/>
        </w:rPr>
        <w:t>2027</w:t>
      </w:r>
      <w:r w:rsidRPr="00C95297">
        <w:rPr>
          <w:rFonts w:hint="eastAsia"/>
          <w:b w:val="0"/>
          <w:bCs w:val="0"/>
        </w:rPr>
        <w:t>年）</w:t>
      </w:r>
      <w:r w:rsidRPr="00C95297">
        <w:rPr>
          <w:rFonts w:hint="eastAsia"/>
          <w:b w:val="0"/>
          <w:bCs w:val="0"/>
        </w:rPr>
        <w:t xml:space="preserve">: </w:t>
      </w:r>
      <w:r w:rsidRPr="00C95297">
        <w:rPr>
          <w:rFonts w:hint="eastAsia"/>
          <w:b w:val="0"/>
          <w:bCs w:val="0"/>
        </w:rPr>
        <w:t>中车大创新体系初步搭建（见附图）。构建</w:t>
      </w:r>
      <w:r w:rsidRPr="00C95297">
        <w:rPr>
          <w:rFonts w:hint="eastAsia"/>
          <w:b w:val="0"/>
          <w:bCs w:val="0"/>
        </w:rPr>
        <w:lastRenderedPageBreak/>
        <w:t>科技体制改革</w:t>
      </w:r>
      <w:r w:rsidRPr="00C95297">
        <w:rPr>
          <w:rFonts w:hint="eastAsia"/>
          <w:b w:val="0"/>
          <w:bCs w:val="0"/>
        </w:rPr>
        <w:t>-</w:t>
      </w:r>
      <w:r w:rsidRPr="00C95297">
        <w:rPr>
          <w:rFonts w:hint="eastAsia"/>
          <w:b w:val="0"/>
          <w:bCs w:val="0"/>
        </w:rPr>
        <w:t>大创新体系</w:t>
      </w:r>
      <w:r w:rsidRPr="00C95297">
        <w:rPr>
          <w:rFonts w:hint="eastAsia"/>
          <w:b w:val="0"/>
          <w:bCs w:val="0"/>
        </w:rPr>
        <w:t>-</w:t>
      </w:r>
      <w:r w:rsidRPr="00C95297">
        <w:rPr>
          <w:rFonts w:hint="eastAsia"/>
          <w:b w:val="0"/>
          <w:bCs w:val="0"/>
        </w:rPr>
        <w:t>产品研发管理</w:t>
      </w:r>
      <w:r w:rsidRPr="00C95297">
        <w:rPr>
          <w:rFonts w:hint="eastAsia"/>
          <w:b w:val="0"/>
          <w:bCs w:val="0"/>
        </w:rPr>
        <w:t>-</w:t>
      </w:r>
      <w:r w:rsidRPr="00C95297">
        <w:rPr>
          <w:rFonts w:hint="eastAsia"/>
          <w:b w:val="0"/>
          <w:bCs w:val="0"/>
        </w:rPr>
        <w:t>研发数字化等一体推进机制；研发数字化有序推进，创新活力有效激发，管理能力大幅提升，持续产出具有重要影响力的原创技术和重大产品，创新效率和效益凸显，科技创新支撑产业发展能力明显增强。第二步（</w:t>
      </w:r>
      <w:r w:rsidRPr="00C95297">
        <w:rPr>
          <w:rFonts w:hint="eastAsia"/>
          <w:b w:val="0"/>
          <w:bCs w:val="0"/>
        </w:rPr>
        <w:t>2030</w:t>
      </w:r>
      <w:r w:rsidRPr="00C95297">
        <w:rPr>
          <w:rFonts w:hint="eastAsia"/>
          <w:b w:val="0"/>
          <w:bCs w:val="0"/>
        </w:rPr>
        <w:t>年）</w:t>
      </w:r>
      <w:r w:rsidRPr="00C95297">
        <w:rPr>
          <w:rFonts w:hint="eastAsia"/>
          <w:b w:val="0"/>
          <w:bCs w:val="0"/>
        </w:rPr>
        <w:t>:</w:t>
      </w:r>
      <w:r w:rsidRPr="00C95297">
        <w:rPr>
          <w:rFonts w:hint="eastAsia"/>
          <w:b w:val="0"/>
          <w:bCs w:val="0"/>
        </w:rPr>
        <w:t>“一鼎两环三支撑”中车大创新体系全</w:t>
      </w:r>
    </w:p>
    <w:p w14:paraId="5D3CAA73" w14:textId="77777777" w:rsidR="00C95297" w:rsidRPr="00C95297" w:rsidRDefault="00C95297" w:rsidP="00C95297">
      <w:pPr>
        <w:rPr>
          <w:rFonts w:hint="eastAsia"/>
          <w:b w:val="0"/>
          <w:bCs w:val="0"/>
        </w:rPr>
      </w:pPr>
      <w:r w:rsidRPr="00C95297">
        <w:rPr>
          <w:rFonts w:hint="eastAsia"/>
          <w:b w:val="0"/>
          <w:bCs w:val="0"/>
        </w:rPr>
        <w:t>4</w:t>
      </w:r>
      <w:r w:rsidRPr="00C95297">
        <w:rPr>
          <w:rFonts w:hint="eastAsia"/>
          <w:b w:val="0"/>
          <w:bCs w:val="0"/>
        </w:rPr>
        <w:t>面建成，“五个显著”全面实现，强力支撑公司“双赛道双集群”“四全目标”。二、改革组织机制，实现创新资源显著集聚</w:t>
      </w:r>
      <w:r w:rsidRPr="00C95297">
        <w:rPr>
          <w:rFonts w:hint="eastAsia"/>
          <w:b w:val="0"/>
          <w:bCs w:val="0"/>
        </w:rPr>
        <w:t>5.</w:t>
      </w:r>
      <w:r w:rsidRPr="00C95297">
        <w:rPr>
          <w:rFonts w:hint="eastAsia"/>
          <w:b w:val="0"/>
          <w:bCs w:val="0"/>
        </w:rPr>
        <w:t>完善“五位一体”创新组织模式。持续完善科学有序的中车科技创新组织模式，进一步理顺各科技创新机构的职能定位，强化有组织科研。总部科信部主要负责科技创新规划的制定与组织实施，创新体系建设、持续完善和考核评价，在创新布局、生态建设等方面发挥统领作用。事业部主要负责组织面向市场的技术研究、产品开发、成果转化与产业化（国际部负责推动国际产品平台化）。平台公司主要负责组织前沿基础共性技术研究，基础性平台公司搭建技术研究平台和公共服务平台，专业化平台公司打造技术平台、产品平台和协同研发管理平台，服务并赋能子公司。国家级研发机构主要负责专业领域前沿基础共性技术研究及应用、成果转移转化。子公司技术中心主要负责面向市场的关键技术研究和产品开发，推动研究成果产业化。协同创新团队主要以重大科研项目为载体，发挥整体优势、提高资源效率、减少重复投入，组织重大科研联合攻关。</w:t>
      </w:r>
      <w:r w:rsidRPr="00C95297">
        <w:rPr>
          <w:rFonts w:hint="eastAsia"/>
          <w:b w:val="0"/>
          <w:bCs w:val="0"/>
        </w:rPr>
        <w:t>6.</w:t>
      </w:r>
      <w:r w:rsidRPr="00C95297">
        <w:rPr>
          <w:rFonts w:hint="eastAsia"/>
          <w:b w:val="0"/>
          <w:bCs w:val="0"/>
        </w:rPr>
        <w:t>构建科学高效共创共享创新生态。打造共创共享创新生态。完善要素共投、成果共享、风险共担等利益连接机制，推动产学研大协作、大联合、大攻关，形成创新合力。主动嵌入“</w:t>
      </w:r>
    </w:p>
    <w:p w14:paraId="7B63DC1C" w14:textId="77777777" w:rsidR="00C95297" w:rsidRPr="00C95297" w:rsidRDefault="00C95297" w:rsidP="00C95297">
      <w:pPr>
        <w:rPr>
          <w:rFonts w:hint="eastAsia"/>
          <w:b w:val="0"/>
          <w:bCs w:val="0"/>
        </w:rPr>
      </w:pPr>
      <w:r w:rsidRPr="00C95297">
        <w:rPr>
          <w:rFonts w:hint="eastAsia"/>
          <w:b w:val="0"/>
          <w:bCs w:val="0"/>
        </w:rPr>
        <w:t>5</w:t>
      </w:r>
      <w:r w:rsidRPr="00C95297">
        <w:rPr>
          <w:rFonts w:hint="eastAsia"/>
          <w:b w:val="0"/>
          <w:bCs w:val="0"/>
        </w:rPr>
        <w:t>政产学研用金服”创新网络，组建或参建联合实验室、创新联合体和产业技术创新联盟。构建开放式创新生态。发挥国家级研发机构聚智作用，以及国家自然科学基金联合基金牵引作用，吸引全社会优势科研力量提升原创技术供给能力；开展高水平对外技术合作，建设好海外研发中心。（责任部门：科信部、战略部、国际事业部）</w:t>
      </w:r>
      <w:r w:rsidRPr="00C95297">
        <w:rPr>
          <w:rFonts w:hint="eastAsia"/>
          <w:b w:val="0"/>
          <w:bCs w:val="0"/>
        </w:rPr>
        <w:t>7.</w:t>
      </w:r>
      <w:r w:rsidRPr="00C95297">
        <w:rPr>
          <w:rFonts w:hint="eastAsia"/>
          <w:b w:val="0"/>
          <w:bCs w:val="0"/>
        </w:rPr>
        <w:t>优化平台公司职能定位。进一步明确研究院、国创中心（青岛）、信息公司三个基础性平台，重庆公司、启航公司两个专业化平台定位，协同高效发挥作用。发挥规划设计院大系统支撑、国创中心（株洲）制造技术支撑作用，更好融入中车创新体系。研究院：立足中车，集聚中车内外优势资源，开展科技创新体系和科技规划研究、经济与信息研究、前沿基础共性技术研究，组织开展协同创新，搭建科技公共服务平台，建设中车高端智库，是中车战略研究和科技创新支撑性、服务性、管理延伸的基础性平台。负责中车产业发展学科建设，牵头开展人工智能共性技术规划及研究、战新和未来产业技术（数字、智能、绿色、低空、安全、海洋、循环、文化科技等方向）、现代制造技术研究，研究先进创新方法和工具，探索知识成果交易模式，建设协同研发及管理平台、战略型智库平台。</w:t>
      </w:r>
    </w:p>
    <w:p w14:paraId="41001250" w14:textId="77777777" w:rsidR="00C95297" w:rsidRPr="00C95297" w:rsidRDefault="00C95297" w:rsidP="00C95297">
      <w:pPr>
        <w:rPr>
          <w:rFonts w:hint="eastAsia"/>
          <w:b w:val="0"/>
          <w:bCs w:val="0"/>
        </w:rPr>
      </w:pPr>
      <w:r w:rsidRPr="00C95297">
        <w:rPr>
          <w:rFonts w:hint="eastAsia"/>
          <w:b w:val="0"/>
          <w:bCs w:val="0"/>
        </w:rPr>
        <w:t>6</w:t>
      </w:r>
      <w:r w:rsidRPr="00C95297">
        <w:rPr>
          <w:rFonts w:hint="eastAsia"/>
          <w:b w:val="0"/>
          <w:bCs w:val="0"/>
        </w:rPr>
        <w:t>国创中心（青岛）：立足国家，集聚国内外创新和产业资源，开展前沿基础共性技术研究和技术预见，牵头列车新架构技术研究，组织原创技术策源，搭建创新生态平台，推动成果转移转化及能力建设。推动跨领域跨学科跨专业协同，组建创新联盟；建设概念验证、中试验证、应用示范等平台；组织实施国家自然科学基金中车联合基金项目；开展产业链供应商评价、检验检测认证、海外认证咨询、制造服务，建设质</w:t>
      </w:r>
      <w:r w:rsidRPr="00C95297">
        <w:rPr>
          <w:rFonts w:hint="eastAsia"/>
          <w:b w:val="0"/>
          <w:bCs w:val="0"/>
        </w:rPr>
        <w:lastRenderedPageBreak/>
        <w:t>量技术和体系服务能力。信息公司：立足中车，集聚中车内外优势资源，开展数智技术和规划研究，建设中车数字化转型研究院，承担总部应用系统建设及运维，为子公司提供数智化转型服务，是中车数智转型支撑性、服务性和管理延伸的基础性平台。支撑企业业务架构、数据架构、应用架构构建，开展统一技术架构研究和建设；负责中车大数据中心、工业互联网平台、人工智能基础平台等数智化基础设施建设；统一提供网络安全、数据治理、信创适配等服务。重庆公司：立足城市轨道交通领域，集聚中车内外优势资源，组织开展应用基础、共性技术研究和产品协同创新、业务发展规划，打造标准化模块化技术平台、产品平台、协同研发管理平台，构建统一技术和标准体系，开展“产品</w:t>
      </w:r>
      <w:r w:rsidRPr="00C95297">
        <w:rPr>
          <w:rFonts w:hint="eastAsia"/>
          <w:b w:val="0"/>
          <w:bCs w:val="0"/>
        </w:rPr>
        <w:t>+</w:t>
      </w:r>
      <w:r w:rsidRPr="00C95297">
        <w:rPr>
          <w:rFonts w:hint="eastAsia"/>
          <w:b w:val="0"/>
          <w:bCs w:val="0"/>
        </w:rPr>
        <w:t>”、智能运维、车地一体化机电系统等技术研究和应用，提供先进系统解</w:t>
      </w:r>
    </w:p>
    <w:p w14:paraId="3ACB4F85" w14:textId="77777777" w:rsidR="00C95297" w:rsidRPr="00C95297" w:rsidRDefault="00C95297" w:rsidP="00C95297">
      <w:pPr>
        <w:rPr>
          <w:rFonts w:hint="eastAsia"/>
          <w:b w:val="0"/>
          <w:bCs w:val="0"/>
        </w:rPr>
      </w:pPr>
      <w:r w:rsidRPr="00C95297">
        <w:rPr>
          <w:rFonts w:hint="eastAsia"/>
          <w:b w:val="0"/>
          <w:bCs w:val="0"/>
        </w:rPr>
        <w:t>7</w:t>
      </w:r>
      <w:r w:rsidRPr="00C95297">
        <w:rPr>
          <w:rFonts w:hint="eastAsia"/>
          <w:b w:val="0"/>
          <w:bCs w:val="0"/>
        </w:rPr>
        <w:t>决方案，是支撑中车城市轨道交通装备技术水平提升、市场开拓和产品标准化的专业化平台公司。启航公司：立足清洁能源装备领域，集聚中车内外优势资源，组织开展前沿、基础、共性技术研究和产品协同创新、业务发展规划，打造标准化模块化技术平台、产品平台、管理平台，统筹组织风电整机产品方案设计、技术设计，开展综合能源系统解决方案研究、仿真和试验验证能力提升和建设，构建技术、质量、供应链等技术标准和管理体系，推动风电等清洁能源装备产业链技术合作、技术穿透和降本增效，是统筹中车清洁能源装备技术、产品、质量、能力和标准的专业化平台公司。（责任部门：战略部、改革办、科信部、人力部、各事业部）</w:t>
      </w:r>
      <w:r w:rsidRPr="00C95297">
        <w:rPr>
          <w:rFonts w:hint="eastAsia"/>
          <w:b w:val="0"/>
          <w:bCs w:val="0"/>
        </w:rPr>
        <w:t>8.</w:t>
      </w:r>
      <w:r w:rsidRPr="00C95297">
        <w:rPr>
          <w:rFonts w:hint="eastAsia"/>
          <w:b w:val="0"/>
          <w:bCs w:val="0"/>
        </w:rPr>
        <w:t>深度融入国家创新体系。对接国家战略需求。与各级主管部门建立常态化对接机制，积极参与国家实验室、大科学装置等国家级平台建设，参与国家、行业科技规划和立项指南编制，承担国家科技计划项目。强化区域创新中心辐射作用。推进长春、大连、青岛、长沙等区域创新中心建设，汇集区域优势资源开展前沿技术研究和高端产品开发。建立协同沟通机制。形成平台公司、国家级研发机构沟通机制，在技术预见、规划编制、共性技术、成果转移转化中增进相互交流，更好发挥协同作用。（责任部门：科信部、战略部、人力部、各事业部）</w:t>
      </w:r>
    </w:p>
    <w:p w14:paraId="24B66D98" w14:textId="77777777" w:rsidR="00C95297" w:rsidRPr="00C95297" w:rsidRDefault="00C95297" w:rsidP="00C95297">
      <w:pPr>
        <w:rPr>
          <w:rFonts w:hint="eastAsia"/>
          <w:b w:val="0"/>
          <w:bCs w:val="0"/>
        </w:rPr>
      </w:pPr>
      <w:r w:rsidRPr="00C95297">
        <w:rPr>
          <w:rFonts w:hint="eastAsia"/>
          <w:b w:val="0"/>
          <w:bCs w:val="0"/>
        </w:rPr>
        <w:t>8</w:t>
      </w:r>
      <w:r w:rsidRPr="00C95297">
        <w:rPr>
          <w:rFonts w:hint="eastAsia"/>
          <w:b w:val="0"/>
          <w:bCs w:val="0"/>
        </w:rPr>
        <w:t>三、强化新质培育，实现创新体系显著完善构建“开放、协同、新质、一体化、全球布局、自主可控”中车大创新体系。</w:t>
      </w:r>
      <w:r w:rsidRPr="00C95297">
        <w:rPr>
          <w:rFonts w:hint="eastAsia"/>
          <w:b w:val="0"/>
          <w:bCs w:val="0"/>
        </w:rPr>
        <w:t>9.</w:t>
      </w:r>
      <w:r w:rsidRPr="00C95297">
        <w:rPr>
          <w:rFonts w:hint="eastAsia"/>
          <w:b w:val="0"/>
          <w:bCs w:val="0"/>
        </w:rPr>
        <w:t>构建大创新体系。加快构建以“一鼎两环三支撑”为核心的中车大创新体系，激发创新活力动力。“一鼎”（中车科技创新鼎）：双赛道产业兼容、多维度体系融合、分层研发递进、全生命周期贯通、穿透式精准管理、数智化高效赋能的中车研发体系（“鼎”寓意稳定与根基、完整与规范、融合与统一、贯通与连接）。“两环”：“内环”是指“两横一贯通”的内部创新机制，“外环”是指开放、新质、全球布局的协同创新生态。“三支撑”：一是涵盖科技投入、创新平台、创新能力的创新资源。二是鼓励原始创新，激发创新活力动力的机制保障。三是创新能力卓越、梯次结构合理、勇于探索奋斗的科技人才队伍。建强研发体系（中车科技创新鼎）。做好顶层规划，制定指导意见，做强研发体系“一鼎”功能，以“五全要求”（全维度需求覆盖、全流程闭环管理、全要素流程融入、全链条业务协同、全领域数据贯通）推动双赛道产业兼容、多维度体系融合、分层研发递进、全生命周期贯通、穿透式精准管理、数智</w:t>
      </w:r>
      <w:r w:rsidRPr="00C95297">
        <w:rPr>
          <w:rFonts w:hint="eastAsia"/>
          <w:b w:val="0"/>
          <w:bCs w:val="0"/>
        </w:rPr>
        <w:lastRenderedPageBreak/>
        <w:t>化高效赋能的研发体系建设。制定制度规范，编制产品研发管</w:t>
      </w:r>
    </w:p>
    <w:p w14:paraId="0597369D" w14:textId="77777777" w:rsidR="00C95297" w:rsidRPr="00C95297" w:rsidRDefault="00C95297" w:rsidP="00C95297">
      <w:pPr>
        <w:rPr>
          <w:rFonts w:hint="eastAsia"/>
          <w:b w:val="0"/>
          <w:bCs w:val="0"/>
        </w:rPr>
      </w:pPr>
      <w:r w:rsidRPr="00C95297">
        <w:rPr>
          <w:rFonts w:hint="eastAsia"/>
          <w:b w:val="0"/>
          <w:bCs w:val="0"/>
        </w:rPr>
        <w:t>9</w:t>
      </w:r>
      <w:r w:rsidRPr="00C95297">
        <w:rPr>
          <w:rFonts w:hint="eastAsia"/>
          <w:b w:val="0"/>
          <w:bCs w:val="0"/>
        </w:rPr>
        <w:t>理办法，规范研发流程，强化科研经费穿透式管理；优化研发管理模式，规范全生命周期质量、成本、低碳等核心要素管理。构建研发数字化标准，以指南和规范指导研发流程搭建、全生命周期数据贯通和研发工作平台建设。形成评价机制，建立可量化的研发体系成熟度评价机制，构建评价指标模型，定期开展评价，评价结果作为子公司年度绩效考核的重要参考。（责任部门：科信部、运营部、各事业部）</w:t>
      </w:r>
      <w:r w:rsidRPr="00C95297">
        <w:rPr>
          <w:rFonts w:hint="eastAsia"/>
          <w:b w:val="0"/>
          <w:bCs w:val="0"/>
        </w:rPr>
        <w:t>10.</w:t>
      </w:r>
      <w:r w:rsidRPr="00C95297">
        <w:rPr>
          <w:rFonts w:hint="eastAsia"/>
          <w:b w:val="0"/>
          <w:bCs w:val="0"/>
        </w:rPr>
        <w:t>推动“碳</w:t>
      </w:r>
      <w:r w:rsidRPr="00C95297">
        <w:rPr>
          <w:rFonts w:hint="eastAsia"/>
          <w:b w:val="0"/>
          <w:bCs w:val="0"/>
        </w:rPr>
        <w:t>+</w:t>
      </w:r>
      <w:r w:rsidRPr="00C95297">
        <w:rPr>
          <w:rFonts w:hint="eastAsia"/>
          <w:b w:val="0"/>
          <w:bCs w:val="0"/>
        </w:rPr>
        <w:t>研发”落地实施。加速“三碳”技术应用，通过优化材料选型，推动产品减阻降重和提效降耗，探索多元化能源动力形式，强化延寿、再制造与回收利用等“三碳”（低碳、零碳、负碳）新技术、新工艺的推广和应用，提升绿色低碳设计、标准制定及管理能力。强化产品全生命周期碳管理，建立“核算</w:t>
      </w:r>
      <w:r w:rsidRPr="00C95297">
        <w:rPr>
          <w:rFonts w:hint="eastAsia"/>
          <w:b w:val="0"/>
          <w:bCs w:val="0"/>
        </w:rPr>
        <w:t>-</w:t>
      </w:r>
      <w:r w:rsidRPr="00C95297">
        <w:rPr>
          <w:rFonts w:hint="eastAsia"/>
          <w:b w:val="0"/>
          <w:bCs w:val="0"/>
        </w:rPr>
        <w:t>核查</w:t>
      </w:r>
      <w:r w:rsidRPr="00C95297">
        <w:rPr>
          <w:rFonts w:hint="eastAsia"/>
          <w:b w:val="0"/>
          <w:bCs w:val="0"/>
        </w:rPr>
        <w:t>-</w:t>
      </w:r>
      <w:r w:rsidRPr="00C95297">
        <w:rPr>
          <w:rFonts w:hint="eastAsia"/>
          <w:b w:val="0"/>
          <w:bCs w:val="0"/>
        </w:rPr>
        <w:t>披露”管理机制，确定核算规则并开展产品和供应链碳足迹评价，明确碳排放核查要求并形成闭环反馈机制，在保障数据安全和知识产权前提下开展全生命周期的碳足迹管理和信息披露。（责任部门：科信部、运营部、各事业部）四、强化能力建设，实现创新能力显著提升持续加强创新能力建设，面向数智绿色新能源等新领域新方向，完善仿真、试验和中试验证能力建设与共享。强化原创技术培育输出和引领能力、产品全生命周期管理能力、数智平台赋能创新发展能力。</w:t>
      </w:r>
    </w:p>
    <w:p w14:paraId="1516E913" w14:textId="77777777" w:rsidR="00C95297" w:rsidRPr="00C95297" w:rsidRDefault="00C95297" w:rsidP="00C95297">
      <w:pPr>
        <w:rPr>
          <w:rFonts w:hint="eastAsia"/>
          <w:b w:val="0"/>
          <w:bCs w:val="0"/>
        </w:rPr>
      </w:pPr>
      <w:r w:rsidRPr="00C95297">
        <w:rPr>
          <w:rFonts w:hint="eastAsia"/>
          <w:b w:val="0"/>
          <w:bCs w:val="0"/>
        </w:rPr>
        <w:t>1011.</w:t>
      </w:r>
      <w:r w:rsidRPr="00C95297">
        <w:rPr>
          <w:rFonts w:hint="eastAsia"/>
          <w:b w:val="0"/>
          <w:bCs w:val="0"/>
        </w:rPr>
        <w:t>持续深化科研立项改革。统筹科技信息研究，聚焦前沿技术和行业发展动态，统筹开展科技信息收集、整理、分析与共享，提出技术创新和产业发展建议。开展技术预见，建立常态化技术预见机制，遴选形成关键技术清单，为近中远期科研立项提供输入。强化原创技术培育，完善原创技术策源地管理相关制度，提高基础研究和前沿颠覆技术投入比重，持续加强国家自然科学基金联合基金项目和中车原创技术十年培育专项布局实施，催生更多“从</w:t>
      </w:r>
      <w:r w:rsidRPr="00C95297">
        <w:rPr>
          <w:rFonts w:hint="eastAsia"/>
          <w:b w:val="0"/>
          <w:bCs w:val="0"/>
        </w:rPr>
        <w:t>0</w:t>
      </w:r>
      <w:r w:rsidRPr="00C95297">
        <w:rPr>
          <w:rFonts w:hint="eastAsia"/>
          <w:b w:val="0"/>
          <w:bCs w:val="0"/>
        </w:rPr>
        <w:t>到</w:t>
      </w:r>
      <w:r w:rsidRPr="00C95297">
        <w:rPr>
          <w:rFonts w:hint="eastAsia"/>
          <w:b w:val="0"/>
          <w:bCs w:val="0"/>
        </w:rPr>
        <w:t>1</w:t>
      </w:r>
      <w:r w:rsidRPr="00C95297">
        <w:rPr>
          <w:rFonts w:hint="eastAsia"/>
          <w:b w:val="0"/>
          <w:bCs w:val="0"/>
        </w:rPr>
        <w:t>”的原创技术成果。持续推进科研立项改革，加强自顶向下的重大科研项目部署，争取国家行业支持。加大战新产业、未来产业重大科研项目布局和立项支持。优化“揭榜挂帅”“赛马”、协同创新团队等科研项目组织模式。推进数智化赋能科研立项管理，避免低效、重复立项。（责任部门：科信部、各事业部）</w:t>
      </w:r>
      <w:r w:rsidRPr="00C95297">
        <w:rPr>
          <w:rFonts w:hint="eastAsia"/>
          <w:b w:val="0"/>
          <w:bCs w:val="0"/>
        </w:rPr>
        <w:t>12.</w:t>
      </w:r>
      <w:r w:rsidRPr="00C95297">
        <w:rPr>
          <w:rFonts w:hint="eastAsia"/>
          <w:b w:val="0"/>
          <w:bCs w:val="0"/>
        </w:rPr>
        <w:t>提升公共服务平台能力。统筹公共服务平台建设，开展创新互联网平台、协同研发平台、资源共享能力平台等公共服务平台建设，强化“平台</w:t>
      </w:r>
      <w:r w:rsidRPr="00C95297">
        <w:rPr>
          <w:rFonts w:hint="eastAsia"/>
          <w:b w:val="0"/>
          <w:bCs w:val="0"/>
        </w:rPr>
        <w:t>+</w:t>
      </w:r>
      <w:r w:rsidRPr="00C95297">
        <w:rPr>
          <w:rFonts w:hint="eastAsia"/>
          <w:b w:val="0"/>
          <w:bCs w:val="0"/>
        </w:rPr>
        <w:t>工具</w:t>
      </w:r>
      <w:r w:rsidRPr="00C95297">
        <w:rPr>
          <w:rFonts w:hint="eastAsia"/>
          <w:b w:val="0"/>
          <w:bCs w:val="0"/>
        </w:rPr>
        <w:t>+</w:t>
      </w:r>
      <w:r w:rsidRPr="00C95297">
        <w:rPr>
          <w:rFonts w:hint="eastAsia"/>
          <w:b w:val="0"/>
          <w:bCs w:val="0"/>
        </w:rPr>
        <w:t>服务”的研发支撑服务能力。探索建立高水平科技期刊统筹管理机制。统筹开展试验验证能力建设，聚焦“双赛道双集群”产业发展格局，系统谋划、分步推进综合试验验证能力建设。面向数智绿色新能源和复杂环境等，完善轨道交通中试验证和仿真云平台；统筹做好风电等清洁能源装备领域专项试验验证能力提升规划并推动实施。（责任部门：科信部、战略部、各事业部）</w:t>
      </w:r>
    </w:p>
    <w:p w14:paraId="2AF82EAF" w14:textId="77777777" w:rsidR="00C95297" w:rsidRPr="00C95297" w:rsidRDefault="00C95297" w:rsidP="00C95297">
      <w:pPr>
        <w:rPr>
          <w:rFonts w:hint="eastAsia"/>
          <w:b w:val="0"/>
          <w:bCs w:val="0"/>
        </w:rPr>
      </w:pPr>
      <w:r w:rsidRPr="00C95297">
        <w:rPr>
          <w:rFonts w:hint="eastAsia"/>
          <w:b w:val="0"/>
          <w:bCs w:val="0"/>
        </w:rPr>
        <w:t>1113.</w:t>
      </w:r>
      <w:r w:rsidRPr="00C95297">
        <w:rPr>
          <w:rFonts w:hint="eastAsia"/>
          <w:b w:val="0"/>
          <w:bCs w:val="0"/>
        </w:rPr>
        <w:t>数智赋能科技创新能力提升。基于</w:t>
      </w:r>
      <w:r w:rsidRPr="00C95297">
        <w:rPr>
          <w:rFonts w:hint="eastAsia"/>
          <w:b w:val="0"/>
          <w:bCs w:val="0"/>
        </w:rPr>
        <w:t>4A</w:t>
      </w:r>
      <w:r w:rsidRPr="00C95297">
        <w:rPr>
          <w:rFonts w:hint="eastAsia"/>
          <w:b w:val="0"/>
          <w:bCs w:val="0"/>
        </w:rPr>
        <w:t>架构方法论，重塑“战略解码</w:t>
      </w:r>
      <w:r w:rsidRPr="00C95297">
        <w:rPr>
          <w:rFonts w:hint="eastAsia"/>
          <w:b w:val="0"/>
          <w:bCs w:val="0"/>
        </w:rPr>
        <w:t>-</w:t>
      </w:r>
      <w:r w:rsidRPr="00C95297">
        <w:rPr>
          <w:rFonts w:hint="eastAsia"/>
          <w:b w:val="0"/>
          <w:bCs w:val="0"/>
        </w:rPr>
        <w:t>流程再造</w:t>
      </w:r>
      <w:r w:rsidRPr="00C95297">
        <w:rPr>
          <w:rFonts w:hint="eastAsia"/>
          <w:b w:val="0"/>
          <w:bCs w:val="0"/>
        </w:rPr>
        <w:t>-</w:t>
      </w:r>
      <w:r w:rsidRPr="00C95297">
        <w:rPr>
          <w:rFonts w:hint="eastAsia"/>
          <w:b w:val="0"/>
          <w:bCs w:val="0"/>
        </w:rPr>
        <w:t>技术融合”的数字化框架，推动科技创新从“经验驱动”向“数据驱动”范式跃迁，打通科技创新全生命周期数字化链路，实现科技资源动态配置与跨部门协同优化。加快中车“斫轮”行业大模型建设和深度应用，提升数智赋能科技创新能力。以数智转型推动服务生态转型，以数字化、智能化为核心引擎，驱动产品价值从单一功能向多维生态升级，</w:t>
      </w:r>
      <w:r w:rsidRPr="00C95297">
        <w:rPr>
          <w:rFonts w:hint="eastAsia"/>
          <w:b w:val="0"/>
          <w:bCs w:val="0"/>
        </w:rPr>
        <w:lastRenderedPageBreak/>
        <w:t>实现“产品</w:t>
      </w:r>
      <w:r w:rsidRPr="00C95297">
        <w:rPr>
          <w:rFonts w:hint="eastAsia"/>
          <w:b w:val="0"/>
          <w:bCs w:val="0"/>
        </w:rPr>
        <w:t>+</w:t>
      </w:r>
      <w:r w:rsidRPr="00C95297">
        <w:rPr>
          <w:rFonts w:hint="eastAsia"/>
          <w:b w:val="0"/>
          <w:bCs w:val="0"/>
        </w:rPr>
        <w:t>数据”增值；依托工业互联网平台贯通产品全生命周期数据，延伸预测性维护等“产品</w:t>
      </w:r>
      <w:r w:rsidRPr="00C95297">
        <w:rPr>
          <w:rFonts w:hint="eastAsia"/>
          <w:b w:val="0"/>
          <w:bCs w:val="0"/>
        </w:rPr>
        <w:t>+</w:t>
      </w:r>
      <w:r w:rsidRPr="00C95297">
        <w:rPr>
          <w:rFonts w:hint="eastAsia"/>
          <w:b w:val="0"/>
          <w:bCs w:val="0"/>
        </w:rPr>
        <w:t>服务”创新模式；构建开放接口与开发者生态，促成“产品</w:t>
      </w:r>
      <w:r w:rsidRPr="00C95297">
        <w:rPr>
          <w:rFonts w:hint="eastAsia"/>
          <w:b w:val="0"/>
          <w:bCs w:val="0"/>
        </w:rPr>
        <w:t>+</w:t>
      </w:r>
      <w:r w:rsidRPr="00C95297">
        <w:rPr>
          <w:rFonts w:hint="eastAsia"/>
          <w:b w:val="0"/>
          <w:bCs w:val="0"/>
        </w:rPr>
        <w:t>生态”协同创新。推动科技管理系统智能化升级，依托中车“斫轮”行业大模型，构建智能决策中枢，在技术预见、科研立项、费用管理等环节嵌入智能算法，实现科技管理业务全流程、全要素、全链条数据的可视化监控、智能分析与动态预警。加快推进研发数字化，以标准规范明确研发业务全生命周期标准化要求，以穿透式管理指标统一研发语言，以研发驾驶舱实现研发进度、质量、成本等关键指标的实时监控、预警分析与闭环管控，加快推动“标准引领</w:t>
      </w:r>
      <w:r w:rsidRPr="00C95297">
        <w:rPr>
          <w:rFonts w:hint="eastAsia"/>
          <w:b w:val="0"/>
          <w:bCs w:val="0"/>
        </w:rPr>
        <w:t>-</w:t>
      </w:r>
      <w:r w:rsidRPr="00C95297">
        <w:rPr>
          <w:rFonts w:hint="eastAsia"/>
          <w:b w:val="0"/>
          <w:bCs w:val="0"/>
        </w:rPr>
        <w:t>指标管控</w:t>
      </w:r>
      <w:r w:rsidRPr="00C95297">
        <w:rPr>
          <w:rFonts w:hint="eastAsia"/>
          <w:b w:val="0"/>
          <w:bCs w:val="0"/>
        </w:rPr>
        <w:t>-</w:t>
      </w:r>
      <w:r w:rsidRPr="00C95297">
        <w:rPr>
          <w:rFonts w:hint="eastAsia"/>
          <w:b w:val="0"/>
          <w:bCs w:val="0"/>
        </w:rPr>
        <w:t>平台赋能”的研发数字化，提升正向研发、协同研发、知识沉淀能力。以人工智能驱动科研范式变革，将人工智能从辅助工具升级为核心驱动力，重构研发全链条的思维模式、组织方式和价值创造路径，从底层重构科学研究的数据驱动性、</w:t>
      </w:r>
    </w:p>
    <w:p w14:paraId="0E23AC92" w14:textId="77777777" w:rsidR="00C95297" w:rsidRPr="00C95297" w:rsidRDefault="00C95297" w:rsidP="00C95297">
      <w:pPr>
        <w:rPr>
          <w:rFonts w:hint="eastAsia"/>
          <w:b w:val="0"/>
          <w:bCs w:val="0"/>
        </w:rPr>
      </w:pPr>
      <w:r w:rsidRPr="00C95297">
        <w:rPr>
          <w:rFonts w:hint="eastAsia"/>
          <w:b w:val="0"/>
          <w:bCs w:val="0"/>
        </w:rPr>
        <w:t>12</w:t>
      </w:r>
      <w:r w:rsidRPr="00C95297">
        <w:rPr>
          <w:rFonts w:hint="eastAsia"/>
          <w:b w:val="0"/>
          <w:bCs w:val="0"/>
        </w:rPr>
        <w:t>计算颠覆性、工具普惠性、协作跨域性。在研发阶段开展智能问题生成与方向预测，在试验验证阶段开展自动化与虚实协同，形成由海量数据和庞大算力驱动的智能化科研方式，加速技术优势向产业优势转化。（责任部门：科信部、运营部、财务部、各事业部）</w:t>
      </w:r>
      <w:r w:rsidRPr="00C95297">
        <w:rPr>
          <w:rFonts w:hint="eastAsia"/>
          <w:b w:val="0"/>
          <w:bCs w:val="0"/>
        </w:rPr>
        <w:t>14.</w:t>
      </w:r>
      <w:r w:rsidRPr="00C95297">
        <w:rPr>
          <w:rFonts w:hint="eastAsia"/>
          <w:b w:val="0"/>
          <w:bCs w:val="0"/>
        </w:rPr>
        <w:t>打造高水平科技人才队伍。建成世界一流的人才高地，深化“</w:t>
      </w:r>
      <w:r w:rsidRPr="00C95297">
        <w:rPr>
          <w:rFonts w:hint="eastAsia"/>
          <w:b w:val="0"/>
          <w:bCs w:val="0"/>
        </w:rPr>
        <w:t>1+4+N</w:t>
      </w:r>
      <w:r w:rsidRPr="00C95297">
        <w:rPr>
          <w:rFonts w:hint="eastAsia"/>
          <w:b w:val="0"/>
          <w:bCs w:val="0"/>
        </w:rPr>
        <w:t>”人才高地建设，发挥人才集聚平台作用，为中车科技创新及产业发展提供人才支撑。完善人才培育机制，推动核心科技领军人才管理办法实施落地，更好培育激励核心科技领军人才（两院院士、中车首席科学家、卓越工程师等）。加快青年科技人才成长，以“项目</w:t>
      </w:r>
      <w:r w:rsidRPr="00C95297">
        <w:rPr>
          <w:rFonts w:hint="eastAsia"/>
          <w:b w:val="0"/>
          <w:bCs w:val="0"/>
        </w:rPr>
        <w:t>+</w:t>
      </w:r>
      <w:r w:rsidRPr="00C95297">
        <w:rPr>
          <w:rFonts w:hint="eastAsia"/>
          <w:b w:val="0"/>
          <w:bCs w:val="0"/>
        </w:rPr>
        <w:t>人才”方式为青年科技人员提供更好平台，鼓励优秀青年科技人才主持或参与重大科研项目。探索实施多维度激励，已有政策应用尽用，通过股权激励、补偿激励、项目收益分红等方式增强吸引力，杜绝高水平“大锅饭”。（责任部门：人力部、战略部、科信部、各事业部）五、优化管理机制，实现创新效率显著提高提升协同创新能力，健全创新效能评价机制，多维度激励释放创新活力，创新体系效能提升</w:t>
      </w:r>
      <w:r w:rsidRPr="00C95297">
        <w:rPr>
          <w:rFonts w:hint="eastAsia"/>
          <w:b w:val="0"/>
          <w:bCs w:val="0"/>
        </w:rPr>
        <w:t>20%</w:t>
      </w:r>
      <w:r w:rsidRPr="00C95297">
        <w:rPr>
          <w:rFonts w:hint="eastAsia"/>
          <w:b w:val="0"/>
          <w:bCs w:val="0"/>
        </w:rPr>
        <w:t>以上。</w:t>
      </w:r>
      <w:r w:rsidRPr="00C95297">
        <w:rPr>
          <w:rFonts w:hint="eastAsia"/>
          <w:b w:val="0"/>
          <w:bCs w:val="0"/>
        </w:rPr>
        <w:t>15.</w:t>
      </w:r>
      <w:r w:rsidRPr="00C95297">
        <w:rPr>
          <w:rFonts w:hint="eastAsia"/>
          <w:b w:val="0"/>
          <w:bCs w:val="0"/>
        </w:rPr>
        <w:t>强化协同创新能力。外部协同方面，横向推动与地方政府、重点客户、一流高校“总对总”科技合作模式；强化创新联合体管理和协同作用发挥，实现资源统筹和需求快速响应，提</w:t>
      </w:r>
    </w:p>
    <w:p w14:paraId="09A00AF9" w14:textId="77777777" w:rsidR="00C95297" w:rsidRPr="00C95297" w:rsidRDefault="00C95297" w:rsidP="00C95297">
      <w:pPr>
        <w:rPr>
          <w:rFonts w:hint="eastAsia"/>
          <w:b w:val="0"/>
          <w:bCs w:val="0"/>
        </w:rPr>
      </w:pPr>
      <w:r w:rsidRPr="00C95297">
        <w:rPr>
          <w:rFonts w:hint="eastAsia"/>
          <w:b w:val="0"/>
          <w:bCs w:val="0"/>
        </w:rPr>
        <w:t>13</w:t>
      </w:r>
      <w:r w:rsidRPr="00C95297">
        <w:rPr>
          <w:rFonts w:hint="eastAsia"/>
          <w:b w:val="0"/>
          <w:bCs w:val="0"/>
        </w:rPr>
        <w:t>升创新效率。纵向开放中试验证平台服务能力以及相关应用场景，健全常态化供需对接机制，为行业各类创新主体提供服务。发挥主体支撑与融通带动作用，强化产业链上下游资源聚集和协同。内部协同方面，横向总结平台公司和协同创新团队项目管理经验并推广应用；推进“两总制”项目应用；用好重大专项统推机制，形成管理经验。纵向完善“五位一体”创新组织模式，深化分层分级管理，基础性平台公司和国家级研发机构协同做深做透基础共性技术底部，平台公司做精做细技术和产品平台腰部，制造型子公司做优做大产品及系统解决方案头部，形成各司其职、各尽其责、各具特色、各有所长的创新局面。（责任部门：科信部、战略部、各事业部）</w:t>
      </w:r>
      <w:r w:rsidRPr="00C95297">
        <w:rPr>
          <w:rFonts w:hint="eastAsia"/>
          <w:b w:val="0"/>
          <w:bCs w:val="0"/>
        </w:rPr>
        <w:t>16.</w:t>
      </w:r>
      <w:r w:rsidRPr="00C95297">
        <w:rPr>
          <w:rFonts w:hint="eastAsia"/>
          <w:b w:val="0"/>
          <w:bCs w:val="0"/>
        </w:rPr>
        <w:t>优化创新体系效能评价。优化评价指标，结合技术发展趋势和科技创新实际，提升评价指标的科学性、合理性、引领性和可操作性。强化新型工具方法运用，试点运用“项目、人才、组织”三张报表，以及技术就绪度等新型工具方法，为探索开展“按知分配”奠定基础。升级数据</w:t>
      </w:r>
      <w:r w:rsidRPr="00C95297">
        <w:rPr>
          <w:rFonts w:hint="eastAsia"/>
          <w:b w:val="0"/>
          <w:bCs w:val="0"/>
        </w:rPr>
        <w:lastRenderedPageBreak/>
        <w:t>采集信息化手段，提高数据采集的准确性、唯一性、便捷性。强化评价结果应用，充分发挥创新体系效能评价的指挥棒作用，加快实现科技创新和产业创新深度融合，打造央企创新效能评价标杆。（责任部门：科信部、运营部、战略部）</w:t>
      </w:r>
    </w:p>
    <w:p w14:paraId="5BD1B332" w14:textId="77777777" w:rsidR="00C95297" w:rsidRPr="00C95297" w:rsidRDefault="00C95297" w:rsidP="00C95297">
      <w:pPr>
        <w:rPr>
          <w:b w:val="0"/>
          <w:bCs w:val="0"/>
        </w:rPr>
      </w:pPr>
      <w:r w:rsidRPr="00C95297">
        <w:rPr>
          <w:rFonts w:hint="eastAsia"/>
          <w:b w:val="0"/>
          <w:bCs w:val="0"/>
        </w:rPr>
        <w:t>1417.</w:t>
      </w:r>
      <w:r w:rsidRPr="00C95297">
        <w:rPr>
          <w:rFonts w:hint="eastAsia"/>
          <w:b w:val="0"/>
          <w:bCs w:val="0"/>
        </w:rPr>
        <w:t>完善创新管理机制。充分发挥党的领导作用，动态优化“前置事项清单”，提高重大科技事项的实质把关质量。加强科研经费管控，持续加大科研投入力度，强化预算管理，实施科研项目委外预算分层分级审批，实现全级次穿透式管理，建立科研经费投入产出评价机制。实施项目分级分类管理，推进基础研究、应用基础研究、产品开发、应用示范项目分类管理，重大科研项目关键节点实施“里程碑”式管理、节点目标考核。结合战新产业和未来产业创新活跃、技术密集、价值高端，但不确定性大、风险高等特点，优化相应管理机制。完善项目激励评价，全面落实原创技术研究、重大专项等费用视同利润加回机制，推动形成以质量、贡献、绩效为核心的多维度评价机制。强化风险管理，探索构建科技安全风险监测、预警和应对机制。主动融入大监督体系，及时防范化解重大风险，建立科研项目终止机制。营造更好创新氛围，推动科研诚信和尽职免责管理办法落地实施，形成鼓励创新、宽容失败的创新文化。强化与纪检部门沟通协调，健全尽职免责衔接机制。（责任部门：科信部、人力部、财务部、法律部、纪委）六、优化管控模式，实现创新成果显著转化建立公司技术交易机制，探索科技成果转化新方式，全面提升创新成果转化效能。</w:t>
      </w:r>
    </w:p>
    <w:p w14:paraId="16D45C9C" w14:textId="77777777" w:rsidR="00C95297" w:rsidRPr="00C95297" w:rsidRDefault="00C95297" w:rsidP="00C95297">
      <w:pPr>
        <w:rPr>
          <w:rFonts w:hint="eastAsia"/>
          <w:b w:val="0"/>
          <w:bCs w:val="0"/>
        </w:rPr>
      </w:pPr>
      <w:r w:rsidRPr="00C95297">
        <w:rPr>
          <w:rFonts w:hint="eastAsia"/>
          <w:b w:val="0"/>
          <w:bCs w:val="0"/>
        </w:rPr>
        <w:t>1518.</w:t>
      </w:r>
      <w:r w:rsidRPr="00C95297">
        <w:rPr>
          <w:rFonts w:hint="eastAsia"/>
          <w:b w:val="0"/>
          <w:bCs w:val="0"/>
        </w:rPr>
        <w:t>构建技术市场化交易机制。推进技术转移管理办法落地实施，以技术许可、技术转让促进科技要素流动和科技成果转移转化，加快科技成果高效利用。建立技术经理人队伍，探索建立技术经理人培养、评价和激励制度，做好科技成果的培育、孵化、推广等工作，促进成果资本化和产业化。研究建立技术市场交易制度，探索构建“专业化、市场化、全程化、资本化”的技术市场化交易机制。（责任部门：科信部、人力部、财务部、运营部）</w:t>
      </w:r>
      <w:r w:rsidRPr="00C95297">
        <w:rPr>
          <w:rFonts w:hint="eastAsia"/>
          <w:b w:val="0"/>
          <w:bCs w:val="0"/>
        </w:rPr>
        <w:t>19.</w:t>
      </w:r>
      <w:r w:rsidRPr="00C95297">
        <w:rPr>
          <w:rFonts w:hint="eastAsia"/>
          <w:b w:val="0"/>
          <w:bCs w:val="0"/>
        </w:rPr>
        <w:t>加快科技成果转化。提高成果转化率，关注行业和客户需求变化，建立与用户联合攻关机制，提高整机产品研发针对性和产业化率。协同重点用户开展自主化零部件攻关，推进产品装车考核及运用，动态发布创新成果转化目录清单，加快优势技术产业化应用，提高成果落地转化率。开放高价值应用场景，用好国家首（台）套、首批次、首版次“三首”政策，结合产业链上下游需求，探索建立新技术、新产品快捷准入机制，推进新技术、新产品应用。推进重大科技成果凝练，推进从立项到成果一体谋划，开展高水平的科技奖项申报，推动科技成果高质量转化。深化职务科技成果赋权改革，持续推动职务科技成果赋权试点改革取得实效，具备条件时提质扩面。（责任部门：各事业部、产业链部、科信部、人力部）</w:t>
      </w:r>
      <w:r w:rsidRPr="00C95297">
        <w:rPr>
          <w:rFonts w:hint="eastAsia"/>
          <w:b w:val="0"/>
          <w:bCs w:val="0"/>
        </w:rPr>
        <w:t>20.</w:t>
      </w:r>
      <w:r w:rsidRPr="00C95297">
        <w:rPr>
          <w:rFonts w:hint="eastAsia"/>
          <w:b w:val="0"/>
          <w:bCs w:val="0"/>
        </w:rPr>
        <w:t>提升标准专利引领力。强化专利保护与价值创造，谋划培育一批原创型、基础型高价值专利，优先在符合技术发展趋</w:t>
      </w:r>
    </w:p>
    <w:p w14:paraId="6BF17F2C" w14:textId="77777777" w:rsidR="00C95297" w:rsidRPr="00C95297" w:rsidRDefault="00C95297" w:rsidP="00C95297">
      <w:pPr>
        <w:rPr>
          <w:rFonts w:hint="eastAsia"/>
          <w:b w:val="0"/>
          <w:bCs w:val="0"/>
        </w:rPr>
      </w:pPr>
      <w:r w:rsidRPr="00C95297">
        <w:rPr>
          <w:rFonts w:hint="eastAsia"/>
          <w:b w:val="0"/>
          <w:bCs w:val="0"/>
        </w:rPr>
        <w:t>16</w:t>
      </w:r>
      <w:r w:rsidRPr="00C95297">
        <w:rPr>
          <w:rFonts w:hint="eastAsia"/>
          <w:b w:val="0"/>
          <w:bCs w:val="0"/>
        </w:rPr>
        <w:t>势、具有领先水平和市场应用前景的领域开展海外专利布局，筛选专利实施开放许可，推动科技成果转移转化。提升技术标准的话语权和影响力，进一步完善轨道交通装备产品技术标准体系，高水平规划清洁能源装备标准体系建设，加快推动技术标准制定；加强新技术新产品国际、国内标准布局，积极推动中国标准、技术、规则走出</w:t>
      </w:r>
      <w:r w:rsidRPr="00C95297">
        <w:rPr>
          <w:rFonts w:hint="eastAsia"/>
          <w:b w:val="0"/>
          <w:bCs w:val="0"/>
        </w:rPr>
        <w:lastRenderedPageBreak/>
        <w:t>去。（责任部门：科信部、各事业部）七、进一步深化科技体制改革的保障措施落实集团进一步全面深化改革实施方案的统一要求，加快推进科技体制改革实施方案落地见效。</w:t>
      </w:r>
      <w:r w:rsidRPr="00C95297">
        <w:rPr>
          <w:rFonts w:hint="eastAsia"/>
          <w:b w:val="0"/>
          <w:bCs w:val="0"/>
        </w:rPr>
        <w:t>21.</w:t>
      </w:r>
      <w:r w:rsidRPr="00C95297">
        <w:rPr>
          <w:rFonts w:hint="eastAsia"/>
          <w:b w:val="0"/>
          <w:bCs w:val="0"/>
        </w:rPr>
        <w:t>加强党的领导。提高政治站位，各级党组织要发挥党的领导优势，统筹谋划、统一部署、统筹推进，发挥党委会、董事会、办公会、科技委员会、专家等各层级力量，分工配合、协同作战、齐抓共管。</w:t>
      </w:r>
      <w:r w:rsidRPr="00C95297">
        <w:rPr>
          <w:rFonts w:hint="eastAsia"/>
          <w:b w:val="0"/>
          <w:bCs w:val="0"/>
        </w:rPr>
        <w:t>22.</w:t>
      </w:r>
      <w:r w:rsidRPr="00C95297">
        <w:rPr>
          <w:rFonts w:hint="eastAsia"/>
          <w:b w:val="0"/>
          <w:bCs w:val="0"/>
        </w:rPr>
        <w:t>抓好组织实施。加强组织领导，明确任务目标、落实工作职责，强化总部、平台公司、子公司和专家组协同，形成上下联动、高效运转的工作格局，推动各项改革举措落地见效。</w:t>
      </w:r>
      <w:r w:rsidRPr="00C95297">
        <w:rPr>
          <w:rFonts w:hint="eastAsia"/>
          <w:b w:val="0"/>
          <w:bCs w:val="0"/>
        </w:rPr>
        <w:t>23.</w:t>
      </w:r>
      <w:r w:rsidRPr="00C95297">
        <w:rPr>
          <w:rFonts w:hint="eastAsia"/>
          <w:b w:val="0"/>
          <w:bCs w:val="0"/>
        </w:rPr>
        <w:t>强化资源保障。各子公司按照集团科技体制改革统一部署，做好本单位改革的策划和推进，提供必要的专项人员、费用和设备设施支持，保障改革任务高质量推进。</w:t>
      </w:r>
    </w:p>
    <w:p w14:paraId="3425BC95" w14:textId="5A773993" w:rsidR="009319C3" w:rsidRPr="00C95297" w:rsidRDefault="009319C3" w:rsidP="00C95297">
      <w:pPr>
        <w:rPr>
          <w:b w:val="0"/>
          <w:bCs w:val="0"/>
        </w:rPr>
      </w:pPr>
    </w:p>
    <w:sectPr w:rsidR="009319C3" w:rsidRPr="00C952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97"/>
    <w:rsid w:val="003B3D03"/>
    <w:rsid w:val="0064399E"/>
    <w:rsid w:val="00761CEE"/>
    <w:rsid w:val="009319C3"/>
    <w:rsid w:val="00AC5086"/>
    <w:rsid w:val="00C95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628C8"/>
  <w15:chartTrackingRefBased/>
  <w15:docId w15:val="{4DD1D65E-98C6-D946-9E63-88E2FBDC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bCs/>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3D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52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52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5297"/>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95297"/>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C95297"/>
    <w:pPr>
      <w:keepNext/>
      <w:keepLines/>
      <w:spacing w:before="40" w:after="0"/>
      <w:outlineLvl w:val="5"/>
    </w:pPr>
    <w:rPr>
      <w:rFonts w:asciiTheme="minorHAnsi" w:hAnsiTheme="minorHAnsi" w:cstheme="majorBidi"/>
      <w:color w:val="0F4761" w:themeColor="accent1" w:themeShade="BF"/>
    </w:rPr>
  </w:style>
  <w:style w:type="paragraph" w:styleId="7">
    <w:name w:val="heading 7"/>
    <w:basedOn w:val="a"/>
    <w:next w:val="a"/>
    <w:link w:val="70"/>
    <w:uiPriority w:val="9"/>
    <w:semiHidden/>
    <w:unhideWhenUsed/>
    <w:qFormat/>
    <w:rsid w:val="00C95297"/>
    <w:pPr>
      <w:keepNext/>
      <w:keepLines/>
      <w:spacing w:before="40" w:after="0"/>
      <w:outlineLvl w:val="6"/>
    </w:pPr>
    <w:rPr>
      <w:rFonts w:asciiTheme="minorHAnsi" w:hAnsiTheme="minorHAnsi" w:cstheme="majorBidi"/>
      <w:color w:val="595959" w:themeColor="text1" w:themeTint="A6"/>
    </w:rPr>
  </w:style>
  <w:style w:type="paragraph" w:styleId="8">
    <w:name w:val="heading 8"/>
    <w:basedOn w:val="a"/>
    <w:next w:val="a"/>
    <w:link w:val="80"/>
    <w:uiPriority w:val="9"/>
    <w:semiHidden/>
    <w:unhideWhenUsed/>
    <w:qFormat/>
    <w:rsid w:val="00C95297"/>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C9529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qFormat/>
    <w:rsid w:val="003B3D03"/>
    <w:pPr>
      <w:snapToGrid w:val="0"/>
      <w:spacing w:beforeLines="50" w:before="199" w:afterLines="50" w:after="199" w:line="560" w:lineRule="exact"/>
    </w:pPr>
    <w:rPr>
      <w:rFonts w:ascii="Times New Roman" w:eastAsia="黑体" w:hAnsi="Times New Roman" w:cs="Times New Roman"/>
      <w:color w:val="auto"/>
      <w:kern w:val="44"/>
      <w:sz w:val="32"/>
      <w:szCs w:val="44"/>
      <w14:ligatures w14:val="none"/>
    </w:rPr>
  </w:style>
  <w:style w:type="character" w:customStyle="1" w:styleId="10">
    <w:name w:val="标题 1 字符"/>
    <w:basedOn w:val="a0"/>
    <w:link w:val="1"/>
    <w:uiPriority w:val="9"/>
    <w:rsid w:val="003B3D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52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52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5297"/>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C95297"/>
    <w:rPr>
      <w:rFonts w:asciiTheme="minorHAnsi" w:hAnsiTheme="minorHAnsi" w:cstheme="majorBidi"/>
      <w:color w:val="0F4761" w:themeColor="accent1" w:themeShade="BF"/>
      <w:sz w:val="24"/>
    </w:rPr>
  </w:style>
  <w:style w:type="character" w:customStyle="1" w:styleId="60">
    <w:name w:val="标题 6 字符"/>
    <w:basedOn w:val="a0"/>
    <w:link w:val="6"/>
    <w:uiPriority w:val="9"/>
    <w:semiHidden/>
    <w:rsid w:val="00C95297"/>
    <w:rPr>
      <w:rFonts w:asciiTheme="minorHAnsi" w:hAnsiTheme="minorHAnsi" w:cstheme="majorBidi"/>
      <w:color w:val="0F4761" w:themeColor="accent1" w:themeShade="BF"/>
    </w:rPr>
  </w:style>
  <w:style w:type="character" w:customStyle="1" w:styleId="70">
    <w:name w:val="标题 7 字符"/>
    <w:basedOn w:val="a0"/>
    <w:link w:val="7"/>
    <w:uiPriority w:val="9"/>
    <w:semiHidden/>
    <w:rsid w:val="00C95297"/>
    <w:rPr>
      <w:rFonts w:asciiTheme="minorHAnsi" w:hAnsiTheme="minorHAnsi" w:cstheme="majorBidi"/>
      <w:color w:val="595959" w:themeColor="text1" w:themeTint="A6"/>
    </w:rPr>
  </w:style>
  <w:style w:type="character" w:customStyle="1" w:styleId="80">
    <w:name w:val="标题 8 字符"/>
    <w:basedOn w:val="a0"/>
    <w:link w:val="8"/>
    <w:uiPriority w:val="9"/>
    <w:semiHidden/>
    <w:rsid w:val="00C95297"/>
    <w:rPr>
      <w:rFonts w:asciiTheme="minorHAnsi" w:hAnsiTheme="minorHAnsi" w:cstheme="majorBidi"/>
      <w:color w:val="595959" w:themeColor="text1" w:themeTint="A6"/>
    </w:rPr>
  </w:style>
  <w:style w:type="character" w:customStyle="1" w:styleId="90">
    <w:name w:val="标题 9 字符"/>
    <w:basedOn w:val="a0"/>
    <w:link w:val="9"/>
    <w:uiPriority w:val="9"/>
    <w:semiHidden/>
    <w:rsid w:val="00C95297"/>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C952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9529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952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9529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95297"/>
    <w:pPr>
      <w:spacing w:before="160"/>
      <w:jc w:val="center"/>
    </w:pPr>
    <w:rPr>
      <w:i/>
      <w:iCs/>
      <w:color w:val="404040" w:themeColor="text1" w:themeTint="BF"/>
    </w:rPr>
  </w:style>
  <w:style w:type="character" w:customStyle="1" w:styleId="a9">
    <w:name w:val="引用 字符"/>
    <w:basedOn w:val="a0"/>
    <w:link w:val="a8"/>
    <w:uiPriority w:val="29"/>
    <w:rsid w:val="00C95297"/>
    <w:rPr>
      <w:i/>
      <w:iCs/>
      <w:color w:val="404040" w:themeColor="text1" w:themeTint="BF"/>
    </w:rPr>
  </w:style>
  <w:style w:type="paragraph" w:styleId="aa">
    <w:name w:val="List Paragraph"/>
    <w:basedOn w:val="a"/>
    <w:uiPriority w:val="34"/>
    <w:qFormat/>
    <w:rsid w:val="00C95297"/>
    <w:pPr>
      <w:ind w:left="720"/>
      <w:contextualSpacing/>
    </w:pPr>
  </w:style>
  <w:style w:type="character" w:styleId="ab">
    <w:name w:val="Intense Emphasis"/>
    <w:basedOn w:val="a0"/>
    <w:uiPriority w:val="21"/>
    <w:qFormat/>
    <w:rsid w:val="00C95297"/>
    <w:rPr>
      <w:i/>
      <w:iCs/>
      <w:color w:val="0F4761" w:themeColor="accent1" w:themeShade="BF"/>
    </w:rPr>
  </w:style>
  <w:style w:type="paragraph" w:styleId="ac">
    <w:name w:val="Intense Quote"/>
    <w:basedOn w:val="a"/>
    <w:next w:val="a"/>
    <w:link w:val="ad"/>
    <w:uiPriority w:val="30"/>
    <w:qFormat/>
    <w:rsid w:val="00C95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C95297"/>
    <w:rPr>
      <w:i/>
      <w:iCs/>
      <w:color w:val="0F4761" w:themeColor="accent1" w:themeShade="BF"/>
    </w:rPr>
  </w:style>
  <w:style w:type="character" w:styleId="ae">
    <w:name w:val="Intense Reference"/>
    <w:basedOn w:val="a0"/>
    <w:uiPriority w:val="32"/>
    <w:qFormat/>
    <w:rsid w:val="00C95297"/>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1256</Words>
  <Characters>7164</Characters>
  <Application>Microsoft Office Word</Application>
  <DocSecurity>0</DocSecurity>
  <Lines>59</Lines>
  <Paragraphs>16</Paragraphs>
  <ScaleCrop>false</ScaleCrop>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Tongtong Wang</dc:creator>
  <cp:keywords/>
  <dc:description/>
  <cp:lastModifiedBy>Tongtong Wang</cp:lastModifiedBy>
  <cp:revision>1</cp:revision>
  <dcterms:created xsi:type="dcterms:W3CDTF">2026-05-06T03:01:00Z</dcterms:created>
  <dcterms:modified xsi:type="dcterms:W3CDTF">2026-05-06T03:03:00Z</dcterms:modified>
</cp:coreProperties>
</file>