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1670E">
      <w:pPr>
        <w:adjustRightInd w:val="0"/>
        <w:snapToGrid w:val="0"/>
        <w:spacing w:line="640" w:lineRule="exact"/>
        <w:jc w:val="center"/>
        <w:rPr>
          <w:rFonts w:ascii="Times New Roman" w:hAnsi="Times New Roman" w:cs="Times New Roman"/>
          <w:b/>
          <w:bCs/>
          <w:color w:val="000000" w:themeColor="text1"/>
          <w:sz w:val="44"/>
          <w:szCs w:val="44"/>
          <w14:textFill>
            <w14:solidFill>
              <w14:schemeClr w14:val="tx1"/>
            </w14:solidFill>
          </w14:textFill>
        </w:rPr>
      </w:pPr>
    </w:p>
    <w:p w14:paraId="458B3DA1">
      <w:pPr>
        <w:adjustRightInd w:val="0"/>
        <w:snapToGrid w:val="0"/>
        <w:spacing w:line="640" w:lineRule="exact"/>
        <w:jc w:val="center"/>
        <w:rPr>
          <w:rFonts w:ascii="Times New Roman" w:hAnsi="Times New Roman" w:cs="Times New Roman"/>
          <w:b/>
          <w:bCs/>
          <w:color w:val="000000" w:themeColor="text1"/>
          <w:sz w:val="44"/>
          <w:szCs w:val="44"/>
          <w14:textFill>
            <w14:solidFill>
              <w14:schemeClr w14:val="tx1"/>
            </w14:solidFill>
          </w14:textFill>
        </w:rPr>
      </w:pPr>
    </w:p>
    <w:p w14:paraId="09C83683">
      <w:pPr>
        <w:adjustRightInd w:val="0"/>
        <w:snapToGrid w:val="0"/>
        <w:spacing w:line="640" w:lineRule="exact"/>
        <w:jc w:val="center"/>
        <w:rPr>
          <w:rFonts w:ascii="Times New Roman" w:hAnsi="Times New Roman" w:cs="Times New Roman"/>
          <w:b/>
          <w:bCs/>
          <w:color w:val="000000" w:themeColor="text1"/>
          <w:sz w:val="44"/>
          <w:szCs w:val="44"/>
          <w14:textFill>
            <w14:solidFill>
              <w14:schemeClr w14:val="tx1"/>
            </w14:solidFill>
          </w14:textFill>
        </w:rPr>
      </w:pPr>
    </w:p>
    <w:p w14:paraId="60DFFE14">
      <w:pPr>
        <w:adjustRightInd w:val="0"/>
        <w:snapToGrid w:val="0"/>
        <w:spacing w:line="640" w:lineRule="exact"/>
        <w:jc w:val="center"/>
        <w:rPr>
          <w:rFonts w:ascii="Times New Roman" w:hAnsi="Times New Roman" w:cs="Times New Roman"/>
          <w:b/>
          <w:bCs/>
          <w:color w:val="000000" w:themeColor="text1"/>
          <w:sz w:val="44"/>
          <w:szCs w:val="44"/>
          <w14:textFill>
            <w14:solidFill>
              <w14:schemeClr w14:val="tx1"/>
            </w14:solidFill>
          </w14:textFill>
        </w:rPr>
      </w:pPr>
    </w:p>
    <w:p w14:paraId="67658BC1">
      <w:pPr>
        <w:spacing w:before="156" w:beforeLines="50"/>
        <w:jc w:val="center"/>
        <w:rPr>
          <w:rFonts w:ascii="Times New Roman" w:hAnsi="Times New Roman" w:eastAsia="华文中宋" w:cs="Times New Roman"/>
          <w:b/>
          <w:bCs/>
          <w:color w:val="000000" w:themeColor="text1"/>
          <w:sz w:val="52"/>
          <w:szCs w:val="52"/>
          <w14:textFill>
            <w14:solidFill>
              <w14:schemeClr w14:val="tx1"/>
            </w14:solidFill>
          </w14:textFill>
        </w:rPr>
      </w:pPr>
      <w:r>
        <w:rPr>
          <w:rFonts w:ascii="Times New Roman" w:hAnsi="Times New Roman" w:eastAsia="华文中宋" w:cs="Times New Roman"/>
          <w:b/>
          <w:bCs/>
          <w:color w:val="000000" w:themeColor="text1"/>
          <w:sz w:val="52"/>
          <w:szCs w:val="52"/>
          <w14:textFill>
            <w14:solidFill>
              <w14:schemeClr w14:val="tx1"/>
            </w14:solidFill>
          </w14:textFill>
        </w:rPr>
        <w:t>“十五五”科技重大专项</w:t>
      </w:r>
    </w:p>
    <w:p w14:paraId="3C801568">
      <w:pPr>
        <w:spacing w:before="156" w:beforeLines="50"/>
        <w:jc w:val="center"/>
        <w:rPr>
          <w:rFonts w:ascii="Times New Roman" w:hAnsi="Times New Roman" w:eastAsia="华文中宋" w:cs="Times New Roman"/>
          <w:b/>
          <w:bCs/>
          <w:color w:val="000000" w:themeColor="text1"/>
          <w:sz w:val="52"/>
          <w:szCs w:val="52"/>
          <w14:textFill>
            <w14:solidFill>
              <w14:schemeClr w14:val="tx1"/>
            </w14:solidFill>
          </w14:textFill>
        </w:rPr>
      </w:pPr>
      <w:r>
        <w:rPr>
          <w:rFonts w:ascii="Times New Roman" w:hAnsi="Times New Roman" w:eastAsia="华文中宋" w:cs="Times New Roman"/>
          <w:b/>
          <w:bCs/>
          <w:color w:val="000000" w:themeColor="text1"/>
          <w:sz w:val="52"/>
          <w:szCs w:val="52"/>
          <w14:textFill>
            <w14:solidFill>
              <w14:schemeClr w14:val="tx1"/>
            </w14:solidFill>
          </w14:textFill>
        </w:rPr>
        <w:t>项目申报指南</w:t>
      </w:r>
    </w:p>
    <w:p w14:paraId="22F141D2">
      <w:pPr>
        <w:spacing w:before="156" w:beforeLines="50"/>
        <w:jc w:val="center"/>
        <w:rPr>
          <w:rFonts w:ascii="Times New Roman" w:hAnsi="Times New Roman" w:eastAsia="华文中宋" w:cs="Times New Roman"/>
          <w:b/>
          <w:bCs/>
          <w:color w:val="000000" w:themeColor="text1"/>
          <w:sz w:val="40"/>
          <w:szCs w:val="40"/>
          <w14:textFill>
            <w14:solidFill>
              <w14:schemeClr w14:val="tx1"/>
            </w14:solidFill>
          </w14:textFill>
        </w:rPr>
      </w:pPr>
      <w:r>
        <w:rPr>
          <w:rFonts w:hint="eastAsia" w:ascii="Times New Roman" w:hAnsi="Times New Roman" w:eastAsia="华文中宋" w:cs="Times New Roman"/>
          <w:b/>
          <w:bCs/>
          <w:color w:val="000000" w:themeColor="text1"/>
          <w:sz w:val="40"/>
          <w:szCs w:val="40"/>
          <w14:textFill>
            <w14:solidFill>
              <w14:schemeClr w14:val="tx1"/>
            </w14:solidFill>
          </w14:textFill>
        </w:rPr>
        <w:t xml:space="preserve"> (研讨稿)</w:t>
      </w:r>
    </w:p>
    <w:p w14:paraId="63079660">
      <w:pPr>
        <w:adjustRightInd w:val="0"/>
        <w:snapToGrid w:val="0"/>
        <w:spacing w:line="640" w:lineRule="exact"/>
        <w:jc w:val="center"/>
        <w:rPr>
          <w:rFonts w:ascii="Times New Roman" w:hAnsi="Times New Roman" w:eastAsia="仿宋" w:cs="Times New Roman"/>
          <w:color w:val="000000" w:themeColor="text1"/>
          <w:szCs w:val="22"/>
          <w14:textFill>
            <w14:solidFill>
              <w14:schemeClr w14:val="tx1"/>
            </w14:solidFill>
          </w14:textFill>
        </w:rPr>
      </w:pPr>
    </w:p>
    <w:p w14:paraId="469BCE24">
      <w:pPr>
        <w:adjustRightInd w:val="0"/>
        <w:snapToGrid w:val="0"/>
        <w:spacing w:line="640" w:lineRule="exact"/>
        <w:jc w:val="center"/>
        <w:rPr>
          <w:rFonts w:ascii="Times New Roman" w:hAnsi="Times New Roman" w:eastAsia="仿宋" w:cs="Times New Roman"/>
          <w:color w:val="000000" w:themeColor="text1"/>
          <w:szCs w:val="22"/>
          <w14:textFill>
            <w14:solidFill>
              <w14:schemeClr w14:val="tx1"/>
            </w14:solidFill>
          </w14:textFill>
        </w:rPr>
      </w:pPr>
    </w:p>
    <w:p w14:paraId="4DEB3E80">
      <w:pPr>
        <w:adjustRightInd w:val="0"/>
        <w:snapToGrid w:val="0"/>
        <w:spacing w:line="640" w:lineRule="exact"/>
        <w:jc w:val="center"/>
        <w:rPr>
          <w:rFonts w:ascii="Times New Roman" w:hAnsi="Times New Roman" w:eastAsia="仿宋" w:cs="Times New Roman"/>
          <w:color w:val="000000" w:themeColor="text1"/>
          <w:szCs w:val="22"/>
          <w14:textFill>
            <w14:solidFill>
              <w14:schemeClr w14:val="tx1"/>
            </w14:solidFill>
          </w14:textFill>
        </w:rPr>
      </w:pPr>
    </w:p>
    <w:p w14:paraId="5637F0D1">
      <w:pPr>
        <w:adjustRightInd w:val="0"/>
        <w:snapToGrid w:val="0"/>
        <w:spacing w:line="640" w:lineRule="exact"/>
        <w:jc w:val="center"/>
        <w:rPr>
          <w:rFonts w:ascii="Times New Roman" w:hAnsi="Times New Roman" w:eastAsia="仿宋" w:cs="Times New Roman"/>
          <w:color w:val="000000" w:themeColor="text1"/>
          <w:szCs w:val="22"/>
          <w14:textFill>
            <w14:solidFill>
              <w14:schemeClr w14:val="tx1"/>
            </w14:solidFill>
          </w14:textFill>
        </w:rPr>
      </w:pPr>
    </w:p>
    <w:p w14:paraId="16D89E32">
      <w:pPr>
        <w:adjustRightInd w:val="0"/>
        <w:snapToGrid w:val="0"/>
        <w:spacing w:line="640" w:lineRule="exact"/>
        <w:jc w:val="center"/>
        <w:rPr>
          <w:rFonts w:ascii="Times New Roman" w:hAnsi="Times New Roman" w:cs="Times New Roman"/>
          <w:b/>
          <w:bCs/>
          <w:color w:val="000000" w:themeColor="text1"/>
          <w:sz w:val="44"/>
          <w:szCs w:val="44"/>
          <w14:textFill>
            <w14:solidFill>
              <w14:schemeClr w14:val="tx1"/>
            </w14:solidFill>
          </w14:textFill>
        </w:rPr>
      </w:pPr>
    </w:p>
    <w:p w14:paraId="3ABE9972">
      <w:pPr>
        <w:adjustRightInd w:val="0"/>
        <w:snapToGrid w:val="0"/>
        <w:spacing w:line="640" w:lineRule="exact"/>
        <w:rPr>
          <w:rFonts w:ascii="Times New Roman" w:hAnsi="Times New Roman" w:cs="Times New Roman"/>
          <w:b/>
          <w:bCs/>
          <w:color w:val="000000" w:themeColor="text1"/>
          <w:sz w:val="44"/>
          <w:szCs w:val="44"/>
          <w14:textFill>
            <w14:solidFill>
              <w14:schemeClr w14:val="tx1"/>
            </w14:solidFill>
          </w14:textFill>
        </w:rPr>
      </w:pPr>
    </w:p>
    <w:p w14:paraId="3D118C92">
      <w:pPr>
        <w:jc w:val="center"/>
        <w:rPr>
          <w:rFonts w:ascii="Times New Roman" w:hAnsi="Times New Roman" w:eastAsia="华文中宋" w:cs="Times New Roman"/>
          <w:b/>
          <w:bCs/>
          <w:color w:val="000000" w:themeColor="text1"/>
          <w:sz w:val="32"/>
          <w14:textFill>
            <w14:solidFill>
              <w14:schemeClr w14:val="tx1"/>
            </w14:solidFill>
          </w14:textFill>
        </w:rPr>
      </w:pPr>
      <w:r>
        <w:rPr>
          <w:rFonts w:hint="eastAsia" w:ascii="Times New Roman" w:hAnsi="Times New Roman" w:eastAsia="华文中宋" w:cs="Times New Roman"/>
          <w:b/>
          <w:bCs/>
          <w:color w:val="000000" w:themeColor="text1"/>
          <w:sz w:val="32"/>
          <w14:textFill>
            <w14:solidFill>
              <w14:schemeClr w14:val="tx1"/>
            </w14:solidFill>
          </w14:textFill>
        </w:rPr>
        <w:t>xx</w:t>
      </w:r>
      <w:r>
        <w:rPr>
          <w:rFonts w:ascii="Times New Roman" w:hAnsi="Times New Roman" w:eastAsia="华文中宋" w:cs="Times New Roman"/>
          <w:b/>
          <w:bCs/>
          <w:color w:val="000000" w:themeColor="text1"/>
          <w:sz w:val="32"/>
          <w14:textFill>
            <w14:solidFill>
              <w14:schemeClr w14:val="tx1"/>
            </w14:solidFill>
          </w14:textFill>
        </w:rPr>
        <w:t>公司</w:t>
      </w:r>
    </w:p>
    <w:p w14:paraId="34443F3E">
      <w:pPr>
        <w:jc w:val="center"/>
        <w:rPr>
          <w:rFonts w:ascii="Times New Roman" w:hAnsi="Times New Roman" w:eastAsia="华文中宋" w:cs="Times New Roman"/>
          <w:b/>
          <w:bCs/>
          <w:color w:val="000000" w:themeColor="text1"/>
          <w:sz w:val="32"/>
          <w14:textFill>
            <w14:solidFill>
              <w14:schemeClr w14:val="tx1"/>
            </w14:solidFill>
          </w14:textFill>
        </w:rPr>
      </w:pPr>
      <w:r>
        <w:rPr>
          <w:rFonts w:ascii="Times New Roman" w:hAnsi="Times New Roman" w:eastAsia="华文中宋" w:cs="Times New Roman"/>
          <w:b/>
          <w:bCs/>
          <w:color w:val="000000" w:themeColor="text1"/>
          <w:sz w:val="32"/>
          <w14:textFill>
            <w14:solidFill>
              <w14:schemeClr w14:val="tx1"/>
            </w14:solidFill>
          </w14:textFill>
        </w:rPr>
        <w:t>2026年4月</w:t>
      </w:r>
      <w:r>
        <w:rPr>
          <w:rFonts w:hint="eastAsia" w:ascii="Times New Roman" w:hAnsi="Times New Roman" w:eastAsia="华文中宋" w:cs="Times New Roman"/>
          <w:b/>
          <w:bCs/>
          <w:color w:val="000000" w:themeColor="text1"/>
          <w:sz w:val="32"/>
          <w14:textFill>
            <w14:solidFill>
              <w14:schemeClr w14:val="tx1"/>
            </w14:solidFill>
          </w14:textFill>
        </w:rPr>
        <w:t>17</w:t>
      </w:r>
      <w:r>
        <w:rPr>
          <w:rFonts w:ascii="Times New Roman" w:hAnsi="Times New Roman" w:eastAsia="华文中宋" w:cs="Times New Roman"/>
          <w:b/>
          <w:bCs/>
          <w:color w:val="000000" w:themeColor="text1"/>
          <w:sz w:val="32"/>
          <w14:textFill>
            <w14:solidFill>
              <w14:schemeClr w14:val="tx1"/>
            </w14:solidFill>
          </w14:textFill>
        </w:rPr>
        <w:t>日</w:t>
      </w:r>
    </w:p>
    <w:p w14:paraId="4DE81639">
      <w:pPr>
        <w:widowControl/>
        <w:rPr>
          <w:rFonts w:ascii="Times New Roman" w:hAnsi="Times New Roman" w:eastAsia="华文中宋" w:cs="Times New Roman"/>
          <w:b/>
          <w:bCs/>
          <w:color w:val="000000" w:themeColor="text1"/>
          <w:sz w:val="32"/>
          <w14:textFill>
            <w14:solidFill>
              <w14:schemeClr w14:val="tx1"/>
            </w14:solidFill>
          </w14:textFill>
        </w:rPr>
      </w:pPr>
      <w:r>
        <w:rPr>
          <w:rFonts w:ascii="Times New Roman" w:hAnsi="Times New Roman" w:eastAsia="华文中宋" w:cs="Times New Roman"/>
          <w:b/>
          <w:bCs/>
          <w:color w:val="000000" w:themeColor="text1"/>
          <w:sz w:val="32"/>
          <w14:textFill>
            <w14:solidFill>
              <w14:schemeClr w14:val="tx1"/>
            </w14:solidFill>
          </w14:textFill>
        </w:rPr>
        <w:br w:type="page"/>
      </w:r>
    </w:p>
    <w:p w14:paraId="0C1AA757">
      <w:pPr>
        <w:pStyle w:val="47"/>
        <w:jc w:val="center"/>
        <w:rPr>
          <w:rFonts w:ascii="Times New Roman" w:hAnsi="Times New Roman" w:eastAsia="黑体" w:cs="Times New Roman"/>
          <w:color w:val="000000" w:themeColor="text1"/>
          <w:sz w:val="36"/>
          <w:szCs w:val="36"/>
          <w14:textFill>
            <w14:solidFill>
              <w14:schemeClr w14:val="tx1"/>
            </w14:solidFill>
          </w14:textFill>
        </w:rPr>
      </w:pPr>
    </w:p>
    <w:p w14:paraId="75935659">
      <w:pPr>
        <w:spacing w:after="156" w:afterLines="50" w:line="560" w:lineRule="exact"/>
        <w:jc w:val="center"/>
        <w:rPr>
          <w:rFonts w:ascii="Times New Roman" w:hAnsi="Times New Roman" w:eastAsia="黑体" w:cs="Times New Roman"/>
          <w:color w:val="000000" w:themeColor="text1"/>
          <w:sz w:val="36"/>
          <w:szCs w:val="36"/>
          <w14:textFill>
            <w14:solidFill>
              <w14:schemeClr w14:val="tx1"/>
            </w14:solidFill>
          </w14:textFill>
        </w:rPr>
      </w:pPr>
      <w:r>
        <w:rPr>
          <w:rFonts w:ascii="Times New Roman" w:hAnsi="Times New Roman" w:eastAsia="黑体" w:cs="Times New Roman"/>
          <w:color w:val="000000" w:themeColor="text1"/>
          <w:sz w:val="36"/>
          <w:szCs w:val="36"/>
          <w14:textFill>
            <w14:solidFill>
              <w14:schemeClr w14:val="tx1"/>
            </w14:solidFill>
          </w14:textFill>
        </w:rPr>
        <w:t>“十五五”科技重大专项项目申报指南</w:t>
      </w:r>
    </w:p>
    <w:p w14:paraId="01A19B74">
      <w:pPr>
        <w:spacing w:after="0" w:line="560" w:lineRule="exact"/>
        <w:ind w:firstLine="640" w:firstLineChars="200"/>
        <w:outlineLvl w:val="0"/>
        <w:rPr>
          <w:rFonts w:ascii="Times New Roman" w:hAnsi="Times New Roman" w:eastAsia="黑体" w:cs="Times New Roman"/>
          <w:color w:val="000000" w:themeColor="text1"/>
          <w:sz w:val="32"/>
          <w:szCs w:val="32"/>
          <w14:textFill>
            <w14:solidFill>
              <w14:schemeClr w14:val="tx1"/>
            </w14:solidFill>
          </w14:textFill>
        </w:rPr>
      </w:pPr>
      <w:bookmarkStart w:id="0" w:name="_Toc227246231"/>
      <w:r>
        <w:rPr>
          <w:rFonts w:hint="eastAsia" w:ascii="Times New Roman" w:hAnsi="Times New Roman" w:eastAsia="黑体" w:cs="Times New Roman"/>
          <w:color w:val="000000" w:themeColor="text1"/>
          <w:sz w:val="32"/>
          <w:szCs w:val="32"/>
          <w14:textFill>
            <w14:solidFill>
              <w14:schemeClr w14:val="tx1"/>
            </w14:solidFill>
          </w14:textFill>
        </w:rPr>
        <w:t>二</w:t>
      </w:r>
      <w:r>
        <w:rPr>
          <w:rFonts w:ascii="Times New Roman" w:hAnsi="Times New Roman" w:eastAsia="黑体" w:cs="Times New Roman"/>
          <w:color w:val="000000" w:themeColor="text1"/>
          <w:sz w:val="32"/>
          <w:szCs w:val="32"/>
          <w14:textFill>
            <w14:solidFill>
              <w14:schemeClr w14:val="tx1"/>
            </w14:solidFill>
          </w14:textFill>
        </w:rPr>
        <w:t>、</w:t>
      </w:r>
      <w:r>
        <w:rPr>
          <w:rFonts w:hint="eastAsia" w:ascii="Times New Roman" w:hAnsi="Times New Roman" w:eastAsia="黑体" w:cs="Times New Roman"/>
          <w:color w:val="000000" w:themeColor="text1"/>
          <w:sz w:val="32"/>
          <w:szCs w:val="32"/>
          <w14:textFill>
            <w14:solidFill>
              <w14:schemeClr w14:val="tx1"/>
            </w14:solidFill>
          </w14:textFill>
        </w:rPr>
        <w:t>绿色能源系统装备工程</w:t>
      </w:r>
      <w:bookmarkEnd w:id="0"/>
    </w:p>
    <w:p w14:paraId="1515B9D1">
      <w:pPr>
        <w:spacing w:after="0" w:line="560" w:lineRule="exact"/>
        <w:ind w:firstLine="643" w:firstLineChars="200"/>
        <w:outlineLvl w:val="1"/>
        <w:rPr>
          <w:rFonts w:ascii="Times New Roman" w:hAnsi="Times New Roman" w:eastAsia="仿宋" w:cs="Times New Roman"/>
          <w:b/>
          <w:bCs/>
          <w:color w:val="000000" w:themeColor="text1"/>
          <w:sz w:val="32"/>
          <w:szCs w:val="32"/>
          <w14:textFill>
            <w14:solidFill>
              <w14:schemeClr w14:val="tx1"/>
            </w14:solidFill>
          </w14:textFill>
        </w:rPr>
      </w:pPr>
      <w:bookmarkStart w:id="1" w:name="_Toc227246232"/>
      <w:r>
        <w:rPr>
          <w:rFonts w:ascii="Times New Roman" w:hAnsi="Times New Roman" w:eastAsia="仿宋" w:cs="Times New Roman"/>
          <w:b/>
          <w:bCs/>
          <w:color w:val="000000" w:themeColor="text1"/>
          <w:sz w:val="32"/>
          <w:szCs w:val="32"/>
          <w14:textFill>
            <w14:solidFill>
              <w14:schemeClr w14:val="tx1"/>
            </w14:solidFill>
          </w14:textFill>
        </w:rPr>
        <w:t>（</w:t>
      </w:r>
      <w:r>
        <w:rPr>
          <w:rFonts w:hint="eastAsia" w:ascii="Times New Roman" w:hAnsi="Times New Roman" w:eastAsia="仿宋" w:cs="Times New Roman"/>
          <w:b/>
          <w:bCs/>
          <w:color w:val="000000" w:themeColor="text1"/>
          <w:sz w:val="32"/>
          <w:szCs w:val="32"/>
          <w14:textFill>
            <w14:solidFill>
              <w14:schemeClr w14:val="tx1"/>
            </w14:solidFill>
          </w14:textFill>
        </w:rPr>
        <w:t>五</w:t>
      </w:r>
      <w:r>
        <w:rPr>
          <w:rFonts w:ascii="Times New Roman" w:hAnsi="Times New Roman" w:eastAsia="仿宋" w:cs="Times New Roman"/>
          <w:b/>
          <w:bCs/>
          <w:color w:val="000000" w:themeColor="text1"/>
          <w:sz w:val="32"/>
          <w:szCs w:val="32"/>
          <w14:textFill>
            <w14:solidFill>
              <w14:schemeClr w14:val="tx1"/>
            </w14:solidFill>
          </w14:textFill>
        </w:rPr>
        <w:t>）</w:t>
      </w:r>
      <w:r>
        <w:rPr>
          <w:rFonts w:hint="eastAsia" w:ascii="Times New Roman" w:hAnsi="Times New Roman" w:eastAsia="仿宋" w:cs="Times New Roman"/>
          <w:b/>
          <w:bCs/>
          <w:color w:val="000000" w:themeColor="text1"/>
          <w:sz w:val="32"/>
          <w:szCs w:val="32"/>
          <w14:textFill>
            <w14:solidFill>
              <w14:schemeClr w14:val="tx1"/>
            </w14:solidFill>
          </w14:textFill>
        </w:rPr>
        <w:t>超大型智能风电机组全链条技术</w:t>
      </w:r>
      <w:bookmarkEnd w:id="1"/>
    </w:p>
    <w:p w14:paraId="033D35C9">
      <w:pPr>
        <w:spacing w:after="0" w:line="560" w:lineRule="exact"/>
        <w:ind w:firstLine="643" w:firstLineChars="200"/>
        <w:outlineLvl w:val="2"/>
        <w:rPr>
          <w:rFonts w:ascii="Times New Roman" w:hAnsi="Times New Roman" w:eastAsia="仿宋" w:cs="Times New Roman"/>
          <w:b/>
          <w:bCs/>
          <w:color w:val="000000" w:themeColor="text1"/>
          <w:sz w:val="32"/>
          <w:szCs w:val="32"/>
          <w:highlight w:val="yellow"/>
          <w14:textFill>
            <w14:solidFill>
              <w14:schemeClr w14:val="tx1"/>
            </w14:solidFill>
          </w14:textFill>
        </w:rPr>
      </w:pPr>
      <w:bookmarkStart w:id="2" w:name="_Toc227246233"/>
      <w:bookmarkStart w:id="9" w:name="_GoBack"/>
      <w:r>
        <w:rPr>
          <w:rFonts w:ascii="Times New Roman" w:hAnsi="Times New Roman" w:eastAsia="仿宋" w:cs="Times New Roman"/>
          <w:b/>
          <w:bCs/>
          <w:color w:val="000000" w:themeColor="text1"/>
          <w:sz w:val="32"/>
          <w:szCs w:val="32"/>
          <w:highlight w:val="yellow"/>
          <w14:textFill>
            <w14:solidFill>
              <w14:schemeClr w14:val="tx1"/>
            </w14:solidFill>
          </w14:textFill>
        </w:rPr>
        <w:t>1</w:t>
      </w:r>
      <w:r>
        <w:rPr>
          <w:rFonts w:hint="eastAsia" w:ascii="Times New Roman" w:hAnsi="Times New Roman" w:eastAsia="仿宋" w:cs="Times New Roman"/>
          <w:b/>
          <w:bCs/>
          <w:color w:val="000000" w:themeColor="text1"/>
          <w:sz w:val="32"/>
          <w:szCs w:val="32"/>
          <w:highlight w:val="yellow"/>
          <w14:textFill>
            <w14:solidFill>
              <w14:schemeClr w14:val="tx1"/>
            </w14:solidFill>
          </w14:textFill>
        </w:rPr>
        <w:t>5</w:t>
      </w:r>
      <w:r>
        <w:rPr>
          <w:rFonts w:ascii="Times New Roman" w:hAnsi="Times New Roman" w:eastAsia="仿宋" w:cs="Times New Roman"/>
          <w:b/>
          <w:bCs/>
          <w:color w:val="000000" w:themeColor="text1"/>
          <w:sz w:val="32"/>
          <w:szCs w:val="32"/>
          <w:highlight w:val="yellow"/>
          <w14:textFill>
            <w14:solidFill>
              <w14:schemeClr w14:val="tx1"/>
            </w14:solidFill>
          </w14:textFill>
        </w:rPr>
        <w:t>. 风电机组高精度多物理场耦合仿真技术研究与数字孪生平台开发</w:t>
      </w:r>
      <w:bookmarkEnd w:id="2"/>
    </w:p>
    <w:bookmarkEnd w:id="9"/>
    <w:p w14:paraId="5E450D20">
      <w:pPr>
        <w:spacing w:after="0" w:line="560" w:lineRule="exact"/>
        <w:ind w:firstLine="640" w:firstLineChars="200"/>
        <w:jc w:val="both"/>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研究内容：</w:t>
      </w:r>
      <w:r>
        <w:rPr>
          <w:rFonts w:hint="eastAsia" w:ascii="Times New Roman" w:hAnsi="Times New Roman" w:eastAsia="仿宋" w:cs="Times New Roman"/>
          <w:color w:val="000000" w:themeColor="text1"/>
          <w:sz w:val="32"/>
          <w:szCs w:val="32"/>
          <w14:textFill>
            <w14:solidFill>
              <w14:schemeClr w14:val="tx1"/>
            </w14:solidFill>
          </w14:textFill>
        </w:rPr>
        <w:t>研究基于叶素动量理论的高诱导修正技术、斜尾流修正技术、高精度动态失速模型构造技术；研究基于涡尾迹理论气动性能的势流理论算法；开发涵盖势流理论、莫里森方程及高阶非线性波浪模型水动力算法；研究模态叠加、几何精确梁及绝对节点坐标法等非线性结构梁模型构造方法，研究涵盖整机“刚-柔耦合”多体动力学模型构造技术。研究基于气动、结构、水动力、控制等不同物理场特征时间差异的“多步长”耦合算法；研究针对涡尾迹尾迹演化等高计算密的GPU加速技术，研究基于GPU与CPU混合模式的高效内存管理技术，实现仿真计算过程整体性能提升；融合迭代与松弛求解机制，探索面向复杂非线性耦合问题的迭代与松弛加速求解方法。研究风电机组气动、结构、水动耦合的全生命周期数字映射技术；研究基于本征正交分解、动态模态分解等算法模型降阶技术；开发耦合降阶模型与实时操作系统的实时仿真内核，驱动模型进行状态同步运行。研究针对整机不同结构部件、不同复杂度的全尺度载荷数据库构建技术；通过多源数据融合方法实现仿真与测试数据对比验证，通过数据回注与模型优化持续迭代，为陆上、海上固定式及漂浮式机组提供一体化设计仿真与验证支撑</w:t>
      </w:r>
      <w:r>
        <w:rPr>
          <w:rFonts w:ascii="Times New Roman" w:hAnsi="Times New Roman" w:eastAsia="仿宋" w:cs="Times New Roman"/>
          <w:color w:val="000000" w:themeColor="text1"/>
          <w:sz w:val="32"/>
          <w:szCs w:val="32"/>
          <w14:textFill>
            <w14:solidFill>
              <w14:schemeClr w14:val="tx1"/>
            </w14:solidFill>
          </w14:textFill>
        </w:rPr>
        <w:t>。</w:t>
      </w:r>
      <w:r>
        <w:rPr>
          <w:rFonts w:hint="eastAsia" w:ascii="Times New Roman" w:hAnsi="Times New Roman" w:eastAsia="仿宋" w:cs="Times New Roman"/>
          <w:color w:val="000000" w:themeColor="text1"/>
          <w:sz w:val="32"/>
          <w:szCs w:val="32"/>
          <w14:textFill>
            <w14:solidFill>
              <w14:schemeClr w14:val="tx1"/>
            </w14:solidFill>
          </w14:textFill>
        </w:rPr>
        <w:t>建立仿真软件之间横向对比以及仿测对比分析流程，开展仿真软件算法和参数优化，提升仿真精度。</w:t>
      </w:r>
    </w:p>
    <w:p w14:paraId="1A156BCE">
      <w:pPr>
        <w:spacing w:after="0" w:line="560" w:lineRule="exact"/>
        <w:ind w:firstLine="640" w:firstLineChars="200"/>
        <w:jc w:val="both"/>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考核指标：</w:t>
      </w:r>
      <w:r>
        <w:rPr>
          <w:rFonts w:hint="eastAsia" w:ascii="Times New Roman" w:hAnsi="Times New Roman" w:eastAsia="仿宋" w:cs="Times New Roman"/>
          <w:color w:val="000000" w:themeColor="text1"/>
          <w:sz w:val="32"/>
          <w:szCs w:val="32"/>
          <w14:textFill>
            <w14:solidFill>
              <w14:schemeClr w14:val="tx1"/>
            </w14:solidFill>
          </w14:textFill>
        </w:rPr>
        <w:t>形成风电装备高精度多物理场耦合仿真技术体系下的正向设计流程规范1项。与主流商业软件同等建模方式相比，实现平台仿真计算结果的整机性能≤5%，关键载荷≤10%。开发可运行于边缘端的实时数字孪生模型1套。通过持续运行迭代，数字孪生模型预测结果与实际测试量的偏差≤5%。形成获得认证的自主可控风电装备一体化设计与仿真软件平台1套，核心算法专利及仿真验证企业标准2-3项，在国内外公开期刊上发表与本项目研究内容相关的专业技术论文2-3篇</w:t>
      </w:r>
      <w:r>
        <w:rPr>
          <w:rFonts w:ascii="Times New Roman" w:hAnsi="Times New Roman" w:eastAsia="仿宋" w:cs="Times New Roman"/>
          <w:color w:val="000000" w:themeColor="text1"/>
          <w:sz w:val="32"/>
          <w:szCs w:val="32"/>
          <w14:textFill>
            <w14:solidFill>
              <w14:schemeClr w14:val="tx1"/>
            </w14:solidFill>
          </w14:textFill>
        </w:rPr>
        <w:t>。</w:t>
      </w:r>
    </w:p>
    <w:p w14:paraId="3366A10D">
      <w:pPr>
        <w:spacing w:after="0" w:line="560" w:lineRule="exact"/>
        <w:ind w:firstLine="640" w:firstLineChars="200"/>
        <w:jc w:val="both"/>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关键词：数字孪生</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多物理场耦合</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自主工业软件</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正向设计</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高性能计算</w:t>
      </w:r>
      <w:r>
        <w:rPr>
          <w:rFonts w:hint="eastAsia" w:ascii="Times New Roman" w:hAnsi="Times New Roman" w:eastAsia="仿宋" w:cs="Times New Roman"/>
          <w:color w:val="000000" w:themeColor="text1"/>
          <w:sz w:val="32"/>
          <w:szCs w:val="32"/>
          <w14:textFill>
            <w14:solidFill>
              <w14:schemeClr w14:val="tx1"/>
            </w14:solidFill>
          </w14:textFill>
        </w:rPr>
        <w:t>，迭代加速与松弛计算</w:t>
      </w:r>
    </w:p>
    <w:p w14:paraId="73B10AC8">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课题名称：</w:t>
      </w:r>
    </w:p>
    <w:p w14:paraId="69F79383">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1）风电机组高精度气动与结构多物理场建模技术研究</w:t>
      </w:r>
    </w:p>
    <w:p w14:paraId="59E30857">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2）多物理场耦合求解与高性能计算加速技术研究</w:t>
      </w:r>
    </w:p>
    <w:p w14:paraId="29A26070">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3）风电机组全生命周期数字孪生建模与实时仿真技术研究</w:t>
      </w:r>
    </w:p>
    <w:p w14:paraId="67D92A56">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4）全尺度载荷数据库构建与多源数据融合验证技术研究</w:t>
      </w:r>
    </w:p>
    <w:p w14:paraId="7C99E5B3">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5）风电装备一体化设计仿真软件平台开发与认证</w:t>
      </w:r>
    </w:p>
    <w:p w14:paraId="38D7E718">
      <w:pPr>
        <w:spacing w:after="0" w:line="560" w:lineRule="exact"/>
        <w:ind w:firstLine="643" w:firstLineChars="200"/>
        <w:outlineLvl w:val="2"/>
        <w:rPr>
          <w:rFonts w:ascii="Times New Roman" w:hAnsi="Times New Roman" w:eastAsia="仿宋" w:cs="Times New Roman"/>
          <w:b/>
          <w:bCs/>
          <w:color w:val="000000" w:themeColor="text1"/>
          <w:sz w:val="32"/>
          <w:szCs w:val="32"/>
          <w:highlight w:val="yellow"/>
          <w14:textFill>
            <w14:solidFill>
              <w14:schemeClr w14:val="tx1"/>
            </w14:solidFill>
          </w14:textFill>
        </w:rPr>
      </w:pPr>
      <w:r>
        <w:rPr>
          <w:rFonts w:ascii="Times New Roman" w:hAnsi="Times New Roman" w:eastAsia="仿宋" w:cs="Times New Roman"/>
          <w:b/>
          <w:bCs/>
          <w:color w:val="000000" w:themeColor="text1"/>
          <w:sz w:val="32"/>
          <w:szCs w:val="32"/>
          <w:highlight w:val="yellow"/>
          <w14:textFill>
            <w14:solidFill>
              <w14:schemeClr w14:val="tx1"/>
            </w14:solidFill>
          </w14:textFill>
        </w:rPr>
        <w:t>1</w:t>
      </w:r>
      <w:r>
        <w:rPr>
          <w:rFonts w:hint="eastAsia" w:ascii="Times New Roman" w:hAnsi="Times New Roman" w:eastAsia="仿宋" w:cs="Times New Roman"/>
          <w:b/>
          <w:bCs/>
          <w:color w:val="000000" w:themeColor="text1"/>
          <w:sz w:val="32"/>
          <w:szCs w:val="32"/>
          <w:highlight w:val="yellow"/>
          <w14:textFill>
            <w14:solidFill>
              <w14:schemeClr w14:val="tx1"/>
            </w14:solidFill>
          </w14:textFill>
        </w:rPr>
        <w:t>6</w:t>
      </w:r>
      <w:r>
        <w:rPr>
          <w:rFonts w:ascii="Times New Roman" w:hAnsi="Times New Roman" w:eastAsia="仿宋" w:cs="Times New Roman"/>
          <w:b/>
          <w:bCs/>
          <w:color w:val="000000" w:themeColor="text1"/>
          <w:sz w:val="32"/>
          <w:szCs w:val="32"/>
          <w:highlight w:val="yellow"/>
          <w14:textFill>
            <w14:solidFill>
              <w14:schemeClr w14:val="tx1"/>
            </w14:solidFill>
          </w14:textFill>
        </w:rPr>
        <w:t>. 风电正向设计能力提升</w:t>
      </w:r>
      <w:r>
        <w:rPr>
          <w:rFonts w:hint="eastAsia" w:ascii="Times New Roman" w:hAnsi="Times New Roman" w:eastAsia="仿宋" w:cs="Times New Roman"/>
          <w:b/>
          <w:bCs/>
          <w:color w:val="000000" w:themeColor="text1"/>
          <w:sz w:val="32"/>
          <w:szCs w:val="32"/>
          <w:highlight w:val="yellow"/>
          <w14:textFill>
            <w14:solidFill>
              <w14:schemeClr w14:val="tx1"/>
            </w14:solidFill>
          </w14:textFill>
        </w:rPr>
        <w:t>工程</w:t>
      </w:r>
      <w:r>
        <w:rPr>
          <w:rFonts w:ascii="Times New Roman" w:hAnsi="Times New Roman" w:eastAsia="仿宋" w:cs="Times New Roman"/>
          <w:b/>
          <w:bCs/>
          <w:color w:val="000000" w:themeColor="text1"/>
          <w:sz w:val="32"/>
          <w:szCs w:val="32"/>
          <w:highlight w:val="yellow"/>
          <w14:textFill>
            <w14:solidFill>
              <w14:schemeClr w14:val="tx1"/>
            </w14:solidFill>
          </w14:textFill>
        </w:rPr>
        <w:t>技术研究与应用</w:t>
      </w:r>
    </w:p>
    <w:p w14:paraId="0099004F">
      <w:pPr>
        <w:spacing w:after="0" w:line="560" w:lineRule="exact"/>
        <w:ind w:firstLine="640" w:firstLineChars="200"/>
        <w:jc w:val="both"/>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研究内容：</w:t>
      </w:r>
      <w:r>
        <w:rPr>
          <w:rFonts w:hint="eastAsia" w:ascii="Times New Roman" w:hAnsi="Times New Roman" w:eastAsia="仿宋" w:cs="Times New Roman"/>
          <w:color w:val="000000" w:themeColor="text1"/>
          <w:sz w:val="32"/>
          <w:szCs w:val="32"/>
          <w14:textFill>
            <w14:solidFill>
              <w14:schemeClr w14:val="tx1"/>
            </w14:solidFill>
          </w14:textFill>
        </w:rPr>
        <w:t>针对当前中车风电产品正向设计能力及底层机理研究深度不足问题，开展涵盖政策、市场、环境、子系统等核心需求要素的风电产业链（含整机、系统、关键零部件、材料、原材料）大耦合关系及耦合机理研究。基于耦合关系，针对中车风电全生命周期设计方法体系不完整、关键技术方法与标准规范不健全、核心管控环节不规范等问题，通过研究基于全生命周期的设计技术，构建统一分级的流程体系、完善覆盖全生命周期设计方法及标准体系。基于正向设计技术方法及指标体系，针对当前风电产品服役性能评价指标不清晰，评价方法不准确等问题，借鉴轨道交通RAMS成熟经验，系统开展风电产品全生命周期多维度影响因素分析，形成中车风电统一的RAMS评估方法及标准，为风电产品核心指标分解和验证提供支撑。基于正向设计方法及评价指标体系，针对大型化趋势下风电产品仿真分析不准确、试验验证能力不足的问题，开展多层级、多维度的仿真技术及试验方法研究，形成面向风电全产业链的仿真试验技术方法体系，全面支撑风电机组的设计及验证。</w:t>
      </w:r>
    </w:p>
    <w:p w14:paraId="42367BB0">
      <w:pPr>
        <w:spacing w:after="0" w:line="560" w:lineRule="exact"/>
        <w:ind w:firstLine="640" w:firstLineChars="200"/>
        <w:jc w:val="both"/>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考核指标：</w:t>
      </w:r>
      <w:r>
        <w:rPr>
          <w:rFonts w:hint="eastAsia" w:ascii="Times New Roman" w:hAnsi="Times New Roman" w:eastAsia="仿宋" w:cs="Times New Roman"/>
          <w:color w:val="000000" w:themeColor="text1"/>
          <w:sz w:val="32"/>
          <w:szCs w:val="32"/>
          <w14:textFill>
            <w14:solidFill>
              <w14:schemeClr w14:val="tx1"/>
            </w14:solidFill>
          </w14:textFill>
        </w:rPr>
        <w:t>风电产品耦合关系研究报告及基于风电产品耦合关系的功能与指标分解规范1套；覆盖需求分析、验证与确认及定型发布等阶段的全生命周期的正向设计子流程（L4）及活动（L5）、正向设计技术方法和表单、模板（L6）、标准、指标体系1套；风电产品RAMS影响关系分析报告、评价技术方法、技术标准1套；形成面向风电全产业链的仿真试验大纲、仿真试验技术方法体系规范及整机、部件的仿测比对方法1套</w:t>
      </w:r>
      <w:r>
        <w:rPr>
          <w:rFonts w:ascii="Times New Roman" w:hAnsi="Times New Roman" w:eastAsia="仿宋" w:cs="Times New Roman"/>
          <w:color w:val="000000" w:themeColor="text1"/>
          <w:sz w:val="32"/>
          <w:szCs w:val="32"/>
          <w14:textFill>
            <w14:solidFill>
              <w14:schemeClr w14:val="tx1"/>
            </w14:solidFill>
          </w14:textFill>
        </w:rPr>
        <w:t>。</w:t>
      </w:r>
    </w:p>
    <w:p w14:paraId="3F33F238">
      <w:pPr>
        <w:spacing w:after="0" w:line="560" w:lineRule="exact"/>
        <w:ind w:firstLine="640" w:firstLineChars="200"/>
        <w:jc w:val="both"/>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关键词：</w:t>
      </w:r>
      <w:r>
        <w:rPr>
          <w:rFonts w:hint="eastAsia" w:ascii="Times New Roman" w:hAnsi="Times New Roman" w:eastAsia="仿宋" w:cs="Times New Roman"/>
          <w:color w:val="000000" w:themeColor="text1"/>
          <w:sz w:val="32"/>
          <w:szCs w:val="32"/>
          <w14:textFill>
            <w14:solidFill>
              <w14:schemeClr w14:val="tx1"/>
            </w14:solidFill>
          </w14:textFill>
        </w:rPr>
        <w:t>风电装备，正向设计，RAMS，仿真实验，产品平台，模块化设计</w:t>
      </w:r>
    </w:p>
    <w:p w14:paraId="4D2F09A9">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课题名称：</w:t>
      </w:r>
    </w:p>
    <w:p w14:paraId="40BAED43">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1）面向复杂耦合关系的基础技术研究与应用</w:t>
      </w:r>
    </w:p>
    <w:p w14:paraId="5E2CFC81">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2）风电产品全生命周期设计技术研究</w:t>
      </w:r>
    </w:p>
    <w:p w14:paraId="7EDFC08B">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3）风电RAMS性能评价技术研究</w:t>
      </w:r>
    </w:p>
    <w:p w14:paraId="20927A41">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4）仿真试验技术研究</w:t>
      </w:r>
    </w:p>
    <w:p w14:paraId="16377FB3">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p>
    <w:p w14:paraId="44399B49">
      <w:pPr>
        <w:numPr>
          <w:ilvl w:val="255"/>
          <w:numId w:val="0"/>
        </w:numPr>
        <w:spacing w:after="0" w:line="560" w:lineRule="exact"/>
        <w:ind w:firstLine="643" w:firstLineChars="200"/>
        <w:jc w:val="both"/>
        <w:outlineLvl w:val="2"/>
        <w:rPr>
          <w:rFonts w:ascii="Times New Roman" w:hAnsi="Times New Roman" w:eastAsia="仿宋" w:cs="Times New Roman"/>
          <w:b/>
          <w:bCs/>
          <w:sz w:val="32"/>
          <w:szCs w:val="32"/>
          <w:highlight w:val="yellow"/>
        </w:rPr>
      </w:pPr>
      <w:bookmarkStart w:id="3" w:name="_Toc227246236"/>
      <w:r>
        <w:rPr>
          <w:rFonts w:ascii="Times New Roman" w:hAnsi="Times New Roman" w:eastAsia="仿宋" w:cs="Times New Roman"/>
          <w:b/>
          <w:bCs/>
          <w:color w:val="000000" w:themeColor="text1"/>
          <w:sz w:val="32"/>
          <w:szCs w:val="32"/>
          <w:highlight w:val="yellow"/>
          <w14:textFill>
            <w14:solidFill>
              <w14:schemeClr w14:val="tx1"/>
            </w14:solidFill>
          </w14:textFill>
        </w:rPr>
        <w:t>1</w:t>
      </w:r>
      <w:r>
        <w:rPr>
          <w:rFonts w:hint="eastAsia" w:ascii="Times New Roman" w:hAnsi="Times New Roman" w:eastAsia="仿宋" w:cs="Times New Roman"/>
          <w:b/>
          <w:bCs/>
          <w:color w:val="000000" w:themeColor="text1"/>
          <w:sz w:val="32"/>
          <w:szCs w:val="32"/>
          <w:highlight w:val="yellow"/>
          <w14:textFill>
            <w14:solidFill>
              <w14:schemeClr w14:val="tx1"/>
            </w14:solidFill>
          </w14:textFill>
        </w:rPr>
        <w:t>8</w:t>
      </w:r>
      <w:r>
        <w:rPr>
          <w:rFonts w:ascii="Times New Roman" w:hAnsi="Times New Roman" w:eastAsia="仿宋" w:cs="Times New Roman"/>
          <w:b/>
          <w:bCs/>
          <w:color w:val="000000" w:themeColor="text1"/>
          <w:sz w:val="32"/>
          <w:szCs w:val="32"/>
          <w:highlight w:val="yellow"/>
          <w14:textFill>
            <w14:solidFill>
              <w14:schemeClr w14:val="tx1"/>
            </w14:solidFill>
          </w14:textFill>
        </w:rPr>
        <w:t xml:space="preserve">. </w:t>
      </w:r>
      <w:r>
        <w:rPr>
          <w:rFonts w:hint="eastAsia" w:ascii="Times New Roman" w:hAnsi="Times New Roman" w:eastAsia="仿宋" w:cs="Times New Roman"/>
          <w:b/>
          <w:bCs/>
          <w:sz w:val="32"/>
          <w:szCs w:val="32"/>
          <w:highlight w:val="yellow"/>
        </w:rPr>
        <w:t>具身智能风电机组关键技术与场站协同控制技术研究</w:t>
      </w:r>
    </w:p>
    <w:p w14:paraId="710714A3">
      <w:pPr>
        <w:spacing w:after="0" w:line="56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研究内容：</w:t>
      </w:r>
      <w:r>
        <w:rPr>
          <w:rFonts w:hint="eastAsia" w:ascii="Times New Roman" w:hAnsi="Times New Roman" w:eastAsia="仿宋" w:cs="Times New Roman"/>
          <w:sz w:val="32"/>
          <w:szCs w:val="32"/>
        </w:rPr>
        <w:t>围绕AI高阶形态具身智能技术攻关核心方向，构建“全息多源感知-实时自主决策-深度交互协同-持续自学习迭代”的风电全链路智能体系，突破风电具身智能核心关键技术，包括复杂环境精准感知技术、多源异构数据融合技术、实时自主决策算法技术、具身智能风机协同技术、风机与智能维护机器人交互技术，深度交互协同与自主学习成长，形成具身智能风电装备解决方案，</w:t>
      </w:r>
      <w:r>
        <w:rPr>
          <w:rFonts w:ascii="Times New Roman" w:hAnsi="Times New Roman" w:eastAsia="仿宋" w:cs="Times New Roman"/>
          <w:sz w:val="32"/>
          <w:szCs w:val="32"/>
        </w:rPr>
        <w:t>提升机组在</w:t>
      </w:r>
      <w:r>
        <w:rPr>
          <w:rFonts w:hint="eastAsia" w:ascii="Times New Roman" w:hAnsi="Times New Roman" w:eastAsia="仿宋" w:cs="Times New Roman"/>
          <w:sz w:val="32"/>
          <w:szCs w:val="32"/>
        </w:rPr>
        <w:t>多</w:t>
      </w:r>
      <w:r>
        <w:rPr>
          <w:rFonts w:ascii="Times New Roman" w:hAnsi="Times New Roman" w:eastAsia="仿宋" w:cs="Times New Roman"/>
          <w:sz w:val="32"/>
          <w:szCs w:val="32"/>
        </w:rPr>
        <w:t>场景下的可靠性与经济性</w:t>
      </w:r>
      <w:r>
        <w:rPr>
          <w:rFonts w:hint="eastAsia" w:ascii="Times New Roman" w:hAnsi="Times New Roman" w:eastAsia="仿宋" w:cs="Times New Roman"/>
          <w:sz w:val="32"/>
          <w:szCs w:val="32"/>
        </w:rPr>
        <w:t>。并</w:t>
      </w:r>
      <w:r>
        <w:rPr>
          <w:rFonts w:ascii="Times New Roman" w:hAnsi="Times New Roman" w:eastAsia="仿宋" w:cs="Times New Roman"/>
          <w:sz w:val="32"/>
          <w:szCs w:val="32"/>
        </w:rPr>
        <w:t>借鉴轨道交通机车车载安全防护系统（6A系统）集成架构，研究适应风电场景的中央处理平台与“云-边-端”协同体系，满足集成视频、红外热成像、振动声纹等感知终端</w:t>
      </w:r>
      <w:r>
        <w:rPr>
          <w:rFonts w:hint="eastAsia" w:ascii="Times New Roman" w:hAnsi="Times New Roman" w:eastAsia="仿宋" w:cs="Times New Roman"/>
          <w:sz w:val="32"/>
          <w:szCs w:val="32"/>
        </w:rPr>
        <w:t>的</w:t>
      </w:r>
      <w:r>
        <w:rPr>
          <w:rFonts w:ascii="Times New Roman" w:hAnsi="Times New Roman" w:eastAsia="仿宋" w:cs="Times New Roman"/>
          <w:sz w:val="32"/>
          <w:szCs w:val="32"/>
        </w:rPr>
        <w:t>风电场全息</w:t>
      </w:r>
      <w:r>
        <w:rPr>
          <w:rFonts w:hint="eastAsia" w:ascii="Times New Roman" w:hAnsi="Times New Roman" w:eastAsia="仿宋" w:cs="Times New Roman"/>
          <w:sz w:val="32"/>
          <w:szCs w:val="32"/>
        </w:rPr>
        <w:t>感知</w:t>
      </w:r>
      <w:r>
        <w:rPr>
          <w:rFonts w:ascii="Times New Roman" w:hAnsi="Times New Roman" w:eastAsia="仿宋" w:cs="Times New Roman"/>
          <w:sz w:val="32"/>
          <w:szCs w:val="32"/>
        </w:rPr>
        <w:t>数据，开发</w:t>
      </w:r>
      <w:r>
        <w:rPr>
          <w:rFonts w:hint="eastAsia" w:ascii="Times New Roman" w:hAnsi="Times New Roman" w:eastAsia="仿宋" w:cs="Times New Roman"/>
          <w:sz w:val="32"/>
          <w:szCs w:val="32"/>
        </w:rPr>
        <w:t>风机</w:t>
      </w:r>
      <w:r>
        <w:rPr>
          <w:rFonts w:ascii="Times New Roman" w:hAnsi="Times New Roman" w:eastAsia="仿宋" w:cs="Times New Roman"/>
          <w:sz w:val="32"/>
          <w:szCs w:val="32"/>
        </w:rPr>
        <w:t>关键部件智能感知与诊断</w:t>
      </w:r>
      <w:r>
        <w:rPr>
          <w:rFonts w:hint="eastAsia" w:ascii="Times New Roman" w:hAnsi="Times New Roman" w:eastAsia="仿宋" w:cs="Times New Roman"/>
          <w:sz w:val="32"/>
          <w:szCs w:val="32"/>
        </w:rPr>
        <w:t>模型</w:t>
      </w:r>
      <w:r>
        <w:rPr>
          <w:rFonts w:ascii="Times New Roman" w:hAnsi="Times New Roman" w:eastAsia="仿宋" w:cs="Times New Roman"/>
          <w:sz w:val="32"/>
          <w:szCs w:val="32"/>
        </w:rPr>
        <w:t>，</w:t>
      </w:r>
      <w:r>
        <w:rPr>
          <w:rFonts w:hint="eastAsia" w:ascii="Times New Roman" w:hAnsi="Times New Roman" w:eastAsia="仿宋" w:cs="Times New Roman"/>
          <w:sz w:val="32"/>
          <w:szCs w:val="32"/>
        </w:rPr>
        <w:t>实现</w:t>
      </w:r>
      <w:r>
        <w:rPr>
          <w:rFonts w:ascii="Times New Roman" w:hAnsi="Times New Roman" w:eastAsia="仿宋" w:cs="Times New Roman"/>
          <w:sz w:val="32"/>
          <w:szCs w:val="32"/>
        </w:rPr>
        <w:t>机组</w:t>
      </w:r>
      <w:r>
        <w:rPr>
          <w:rFonts w:hint="eastAsia" w:ascii="Times New Roman" w:hAnsi="Times New Roman" w:eastAsia="仿宋" w:cs="Times New Roman"/>
          <w:sz w:val="32"/>
          <w:szCs w:val="32"/>
        </w:rPr>
        <w:t>叶片、传动链等</w:t>
      </w:r>
      <w:r>
        <w:rPr>
          <w:rFonts w:ascii="Times New Roman" w:hAnsi="Times New Roman" w:eastAsia="仿宋" w:cs="Times New Roman"/>
          <w:sz w:val="32"/>
          <w:szCs w:val="32"/>
        </w:rPr>
        <w:t>可靠性分析与故障预警</w:t>
      </w:r>
      <w:r>
        <w:rPr>
          <w:rFonts w:hint="eastAsia" w:ascii="Times New Roman" w:hAnsi="Times New Roman" w:eastAsia="仿宋" w:cs="Times New Roman"/>
          <w:sz w:val="32"/>
          <w:szCs w:val="32"/>
        </w:rPr>
        <w:t>，完成</w:t>
      </w:r>
      <w:r>
        <w:rPr>
          <w:rFonts w:ascii="Times New Roman" w:hAnsi="Times New Roman" w:eastAsia="仿宋" w:cs="Times New Roman"/>
          <w:sz w:val="32"/>
          <w:szCs w:val="32"/>
        </w:rPr>
        <w:t>风电场智慧运维硬件及软件平台。选取典型风电场开展示范验证与应用。</w:t>
      </w:r>
    </w:p>
    <w:p w14:paraId="37AF983E">
      <w:pPr>
        <w:spacing w:after="0" w:line="56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考核指标：研制1套</w:t>
      </w:r>
      <w:r>
        <w:rPr>
          <w:rFonts w:hint="eastAsia" w:ascii="Times New Roman" w:hAnsi="Times New Roman" w:eastAsia="仿宋" w:cs="Times New Roman"/>
          <w:sz w:val="32"/>
          <w:szCs w:val="32"/>
        </w:rPr>
        <w:t>风电装备具身智能全链路技术体系，支撑具身智能风机设计；</w:t>
      </w:r>
      <w:r>
        <w:rPr>
          <w:rFonts w:ascii="Times New Roman" w:hAnsi="Times New Roman" w:eastAsia="仿宋" w:cs="Times New Roman"/>
          <w:sz w:val="32"/>
          <w:szCs w:val="32"/>
        </w:rPr>
        <w:t>研制1套全息感知数据集成与数据统一纳管</w:t>
      </w:r>
      <w:r>
        <w:rPr>
          <w:rFonts w:hint="eastAsia" w:ascii="Times New Roman" w:hAnsi="Times New Roman" w:eastAsia="仿宋" w:cs="Times New Roman"/>
          <w:sz w:val="32"/>
          <w:szCs w:val="32"/>
        </w:rPr>
        <w:t>的技术规范，实现运维数据管理标准化；研制1套</w:t>
      </w:r>
      <w:r>
        <w:rPr>
          <w:rFonts w:ascii="仿宋" w:hAnsi="仿宋" w:eastAsia="仿宋" w:cs="仿宋_GB2312"/>
          <w:sz w:val="32"/>
          <w:szCs w:val="32"/>
          <w:lang w:bidi="ar"/>
        </w:rPr>
        <w:t>具身智能风电装备解决方案</w:t>
      </w:r>
      <w:r>
        <w:rPr>
          <w:rFonts w:hint="eastAsia" w:ascii="仿宋" w:hAnsi="仿宋" w:eastAsia="仿宋" w:cs="仿宋_GB2312"/>
          <w:sz w:val="32"/>
          <w:szCs w:val="32"/>
          <w:lang w:bidi="ar"/>
        </w:rPr>
        <w:t>，提升风机性能和可靠性。</w:t>
      </w:r>
      <w:r>
        <w:rPr>
          <w:rFonts w:ascii="Times New Roman" w:hAnsi="Times New Roman" w:eastAsia="仿宋" w:cs="Times New Roman"/>
          <w:sz w:val="32"/>
          <w:szCs w:val="32"/>
        </w:rPr>
        <w:t>研制1套风电机组</w:t>
      </w:r>
      <w:r>
        <w:rPr>
          <w:rFonts w:hint="eastAsia" w:ascii="Times New Roman" w:hAnsi="Times New Roman" w:eastAsia="仿宋" w:cs="Times New Roman"/>
          <w:sz w:val="32"/>
          <w:szCs w:val="32"/>
        </w:rPr>
        <w:t>超级大脑</w:t>
      </w:r>
      <w:r>
        <w:rPr>
          <w:rFonts w:ascii="Times New Roman" w:hAnsi="Times New Roman" w:eastAsia="仿宋" w:cs="Times New Roman"/>
          <w:sz w:val="32"/>
          <w:szCs w:val="32"/>
        </w:rPr>
        <w:t>决策</w:t>
      </w:r>
      <w:r>
        <w:rPr>
          <w:rFonts w:hint="eastAsia" w:ascii="Times New Roman" w:hAnsi="Times New Roman" w:eastAsia="仿宋" w:cs="Times New Roman"/>
          <w:sz w:val="32"/>
          <w:szCs w:val="32"/>
        </w:rPr>
        <w:t>控制</w:t>
      </w:r>
      <w:r>
        <w:rPr>
          <w:rFonts w:ascii="Times New Roman" w:hAnsi="Times New Roman" w:eastAsia="仿宋" w:cs="Times New Roman"/>
          <w:sz w:val="32"/>
          <w:szCs w:val="32"/>
        </w:rPr>
        <w:t>系统，实现</w:t>
      </w:r>
      <w:r>
        <w:rPr>
          <w:rFonts w:hint="eastAsia" w:ascii="Times New Roman" w:hAnsi="Times New Roman" w:eastAsia="仿宋" w:cs="Times New Roman"/>
          <w:sz w:val="32"/>
          <w:szCs w:val="32"/>
        </w:rPr>
        <w:t>智能控制；</w:t>
      </w:r>
      <w:r>
        <w:rPr>
          <w:rFonts w:ascii="Times New Roman" w:hAnsi="Times New Roman" w:eastAsia="仿宋" w:cs="Times New Roman"/>
          <w:sz w:val="32"/>
          <w:szCs w:val="32"/>
        </w:rPr>
        <w:t>研制1套风电场智慧运维硬件及软件平台</w:t>
      </w:r>
      <w:r>
        <w:rPr>
          <w:rFonts w:hint="eastAsia" w:ascii="Times New Roman" w:hAnsi="Times New Roman" w:eastAsia="仿宋" w:cs="Times New Roman"/>
          <w:sz w:val="32"/>
          <w:szCs w:val="32"/>
        </w:rPr>
        <w:t>为模型开发提供数据底座</w:t>
      </w:r>
      <w:r>
        <w:rPr>
          <w:rFonts w:ascii="Times New Roman" w:hAnsi="Times New Roman" w:eastAsia="仿宋" w:cs="Times New Roman"/>
          <w:sz w:val="32"/>
          <w:szCs w:val="32"/>
        </w:rPr>
        <w:t>。在至少1个风电场完成示范验证与应用，</w:t>
      </w:r>
      <w:r>
        <w:rPr>
          <w:rFonts w:hint="eastAsia" w:ascii="Times New Roman" w:hAnsi="Times New Roman" w:eastAsia="仿宋" w:cs="Times New Roman"/>
          <w:sz w:val="32"/>
          <w:szCs w:val="32"/>
        </w:rPr>
        <w:t>相比无具身智能控制技术的风机等效可利用小时数提升2%以上，</w:t>
      </w:r>
      <w:r>
        <w:rPr>
          <w:rFonts w:hint="eastAsia" w:ascii="仿宋" w:hAnsi="仿宋" w:eastAsia="仿宋" w:cs="仿宋_GB2312"/>
          <w:sz w:val="32"/>
          <w:szCs w:val="32"/>
          <w:lang w:bidi="ar"/>
        </w:rPr>
        <w:t>风电运行时序数据存储压缩比最大可达50:1，实现健康诊断模型综合平均准确率大于85%</w:t>
      </w:r>
      <w:r>
        <w:rPr>
          <w:rFonts w:ascii="Times New Roman" w:hAnsi="Times New Roman" w:eastAsia="仿宋" w:cs="Times New Roman"/>
          <w:sz w:val="32"/>
          <w:szCs w:val="32"/>
        </w:rPr>
        <w:t>。</w:t>
      </w:r>
    </w:p>
    <w:p w14:paraId="03E76AA9">
      <w:pPr>
        <w:spacing w:after="0" w:line="560" w:lineRule="exact"/>
        <w:ind w:firstLine="640" w:firstLineChars="200"/>
        <w:outlineLvl w:val="2"/>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sz w:val="32"/>
          <w:szCs w:val="32"/>
        </w:rPr>
        <w:t>关键词：风电机组、</w:t>
      </w:r>
      <w:r>
        <w:rPr>
          <w:rFonts w:hint="eastAsia" w:ascii="Times New Roman" w:hAnsi="Times New Roman" w:eastAsia="仿宋" w:cs="Times New Roman"/>
          <w:sz w:val="32"/>
          <w:szCs w:val="32"/>
        </w:rPr>
        <w:t>具身智能、</w:t>
      </w:r>
      <w:r>
        <w:rPr>
          <w:rFonts w:ascii="Times New Roman" w:hAnsi="Times New Roman" w:eastAsia="仿宋" w:cs="Times New Roman"/>
          <w:sz w:val="32"/>
          <w:szCs w:val="32"/>
        </w:rPr>
        <w:t>人工智能</w:t>
      </w:r>
      <w:r>
        <w:rPr>
          <w:rFonts w:hint="eastAsia" w:ascii="Times New Roman" w:hAnsi="Times New Roman" w:eastAsia="仿宋" w:cs="Times New Roman"/>
          <w:sz w:val="32"/>
          <w:szCs w:val="32"/>
        </w:rPr>
        <w:t>、</w:t>
      </w:r>
      <w:r>
        <w:rPr>
          <w:rFonts w:ascii="Times New Roman" w:hAnsi="Times New Roman" w:eastAsia="仿宋" w:cs="Times New Roman"/>
          <w:sz w:val="32"/>
          <w:szCs w:val="32"/>
        </w:rPr>
        <w:t>6A系统、</w:t>
      </w:r>
      <w:r>
        <w:rPr>
          <w:rFonts w:hint="eastAsia" w:ascii="Times New Roman" w:hAnsi="Times New Roman" w:eastAsia="仿宋" w:cs="Times New Roman"/>
          <w:sz w:val="32"/>
          <w:szCs w:val="32"/>
        </w:rPr>
        <w:t>全息</w:t>
      </w:r>
      <w:r>
        <w:rPr>
          <w:rFonts w:ascii="Times New Roman" w:hAnsi="Times New Roman" w:eastAsia="仿宋" w:cs="Times New Roman"/>
          <w:sz w:val="32"/>
          <w:szCs w:val="32"/>
        </w:rPr>
        <w:t>感知、多源数据融合、</w:t>
      </w:r>
      <w:r>
        <w:rPr>
          <w:rFonts w:hint="eastAsia" w:ascii="Times New Roman" w:hAnsi="Times New Roman" w:eastAsia="仿宋" w:cs="Times New Roman"/>
          <w:sz w:val="32"/>
          <w:szCs w:val="32"/>
        </w:rPr>
        <w:t>故障诊断</w:t>
      </w:r>
      <w:r>
        <w:rPr>
          <w:rFonts w:ascii="Times New Roman" w:hAnsi="Times New Roman" w:eastAsia="仿宋" w:cs="Times New Roman"/>
          <w:sz w:val="32"/>
          <w:szCs w:val="32"/>
        </w:rPr>
        <w:t>、</w:t>
      </w:r>
      <w:r>
        <w:rPr>
          <w:rFonts w:hint="eastAsia" w:ascii="Times New Roman" w:hAnsi="Times New Roman" w:eastAsia="仿宋" w:cs="Times New Roman"/>
          <w:sz w:val="32"/>
          <w:szCs w:val="32"/>
        </w:rPr>
        <w:t>智能控制、性能提升</w:t>
      </w:r>
      <w:bookmarkEnd w:id="3"/>
      <w:r>
        <w:rPr>
          <w:rFonts w:ascii="Times New Roman" w:hAnsi="Times New Roman" w:eastAsia="仿宋" w:cs="Times New Roman"/>
          <w:color w:val="000000" w:themeColor="text1"/>
          <w:sz w:val="32"/>
          <w:szCs w:val="32"/>
          <w14:textFill>
            <w14:solidFill>
              <w14:schemeClr w14:val="tx1"/>
            </w14:solidFill>
          </w14:textFill>
        </w:rPr>
        <w:t>能</w:t>
      </w:r>
    </w:p>
    <w:p w14:paraId="665E29C0">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课题名称：</w:t>
      </w:r>
    </w:p>
    <w:p w14:paraId="45748D5B">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1）具身智能风电装备一体化解决方案技术研究</w:t>
      </w:r>
    </w:p>
    <w:p w14:paraId="235FB766">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2）风电机组智慧6A感知系统设计及技术研究</w:t>
      </w:r>
    </w:p>
    <w:p w14:paraId="2A0B87A4">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3）风电机组智慧运维技术研究及示范应用</w:t>
      </w:r>
    </w:p>
    <w:p w14:paraId="69F5DC00">
      <w:pPr>
        <w:spacing w:after="0" w:line="560" w:lineRule="exact"/>
        <w:ind w:firstLine="640" w:firstLineChars="200"/>
        <w:outlineLvl w:val="2"/>
        <w:rPr>
          <w:rFonts w:ascii="Times New Roman" w:hAnsi="Times New Roman" w:eastAsia="仿宋" w:cs="Times New Roman"/>
          <w:color w:val="000000" w:themeColor="text1"/>
          <w:sz w:val="32"/>
          <w:szCs w:val="32"/>
          <w14:textFill>
            <w14:solidFill>
              <w14:schemeClr w14:val="tx1"/>
            </w14:solidFill>
          </w14:textFill>
        </w:rPr>
      </w:pPr>
    </w:p>
    <w:p w14:paraId="12F9486A">
      <w:pPr>
        <w:spacing w:after="0" w:line="560" w:lineRule="exact"/>
        <w:ind w:firstLine="643" w:firstLineChars="200"/>
        <w:outlineLvl w:val="1"/>
        <w:rPr>
          <w:rFonts w:ascii="Times New Roman" w:hAnsi="Times New Roman" w:eastAsia="仿宋" w:cs="Times New Roman"/>
          <w:b/>
          <w:bCs/>
          <w:color w:val="000000" w:themeColor="text1"/>
          <w:sz w:val="32"/>
          <w:szCs w:val="32"/>
          <w14:textFill>
            <w14:solidFill>
              <w14:schemeClr w14:val="tx1"/>
            </w14:solidFill>
          </w14:textFill>
        </w:rPr>
      </w:pPr>
      <w:bookmarkStart w:id="4" w:name="_Toc227246237"/>
      <w:r>
        <w:rPr>
          <w:rFonts w:ascii="Times New Roman" w:hAnsi="Times New Roman" w:eastAsia="仿宋" w:cs="Times New Roman"/>
          <w:b/>
          <w:bCs/>
          <w:color w:val="000000" w:themeColor="text1"/>
          <w:sz w:val="32"/>
          <w:szCs w:val="32"/>
          <w14:textFill>
            <w14:solidFill>
              <w14:schemeClr w14:val="tx1"/>
            </w14:solidFill>
          </w14:textFill>
        </w:rPr>
        <w:t>（</w:t>
      </w:r>
      <w:r>
        <w:rPr>
          <w:rFonts w:hint="eastAsia" w:ascii="Times New Roman" w:hAnsi="Times New Roman" w:eastAsia="仿宋" w:cs="Times New Roman"/>
          <w:b/>
          <w:bCs/>
          <w:color w:val="000000" w:themeColor="text1"/>
          <w:sz w:val="32"/>
          <w:szCs w:val="32"/>
          <w14:textFill>
            <w14:solidFill>
              <w14:schemeClr w14:val="tx1"/>
            </w14:solidFill>
          </w14:textFill>
        </w:rPr>
        <w:t>六</w:t>
      </w:r>
      <w:r>
        <w:rPr>
          <w:rFonts w:ascii="Times New Roman" w:hAnsi="Times New Roman" w:eastAsia="仿宋" w:cs="Times New Roman"/>
          <w:b/>
          <w:bCs/>
          <w:color w:val="000000" w:themeColor="text1"/>
          <w:sz w:val="32"/>
          <w:szCs w:val="32"/>
          <w14:textFill>
            <w14:solidFill>
              <w14:schemeClr w14:val="tx1"/>
            </w14:solidFill>
          </w14:textFill>
        </w:rPr>
        <w:t>）</w:t>
      </w:r>
      <w:r>
        <w:rPr>
          <w:rFonts w:hint="eastAsia" w:ascii="Times New Roman" w:hAnsi="Times New Roman" w:eastAsia="仿宋" w:cs="Times New Roman"/>
          <w:b/>
          <w:bCs/>
          <w:color w:val="000000" w:themeColor="text1"/>
          <w:sz w:val="32"/>
          <w:szCs w:val="32"/>
          <w14:textFill>
            <w14:solidFill>
              <w14:schemeClr w14:val="tx1"/>
            </w14:solidFill>
          </w14:textFill>
        </w:rPr>
        <w:t>新型电力系统关键装备与智慧能源系统</w:t>
      </w:r>
      <w:bookmarkEnd w:id="4"/>
    </w:p>
    <w:p w14:paraId="7F064AF7">
      <w:pPr>
        <w:spacing w:after="0" w:line="560" w:lineRule="exact"/>
        <w:ind w:firstLine="643" w:firstLineChars="200"/>
        <w:outlineLvl w:val="2"/>
        <w:rPr>
          <w:rFonts w:ascii="Times New Roman" w:hAnsi="Times New Roman" w:eastAsia="仿宋" w:cs="Times New Roman"/>
          <w:b/>
          <w:bCs/>
          <w:color w:val="000000" w:themeColor="text1"/>
          <w:sz w:val="32"/>
          <w:szCs w:val="32"/>
          <w14:textFill>
            <w14:solidFill>
              <w14:schemeClr w14:val="tx1"/>
            </w14:solidFill>
          </w14:textFill>
        </w:rPr>
      </w:pPr>
      <w:bookmarkStart w:id="5" w:name="_Toc227246238"/>
      <w:r>
        <w:rPr>
          <w:rFonts w:ascii="Times New Roman" w:hAnsi="Times New Roman" w:eastAsia="仿宋" w:cs="Times New Roman"/>
          <w:b/>
          <w:bCs/>
          <w:color w:val="000000" w:themeColor="text1"/>
          <w:sz w:val="32"/>
          <w:szCs w:val="32"/>
          <w14:textFill>
            <w14:solidFill>
              <w14:schemeClr w14:val="tx1"/>
            </w14:solidFill>
          </w14:textFill>
        </w:rPr>
        <w:t xml:space="preserve">19. </w:t>
      </w:r>
      <w:r>
        <w:rPr>
          <w:rFonts w:hint="eastAsia" w:ascii="Times New Roman" w:hAnsi="Times New Roman" w:eastAsia="仿宋" w:cs="Times New Roman"/>
          <w:b/>
          <w:bCs/>
          <w:color w:val="000000" w:themeColor="text1"/>
          <w:sz w:val="32"/>
          <w:szCs w:val="32"/>
          <w14:textFill>
            <w14:solidFill>
              <w14:schemeClr w14:val="tx1"/>
            </w14:solidFill>
          </w14:textFill>
        </w:rPr>
        <w:t>多时间尺度储能系统集成技术研究及装备研制</w:t>
      </w:r>
      <w:bookmarkEnd w:id="5"/>
    </w:p>
    <w:p w14:paraId="2F76ED5A">
      <w:pPr>
        <w:spacing w:after="0" w:line="560" w:lineRule="exact"/>
        <w:ind w:firstLine="640" w:firstLineChars="200"/>
        <w:jc w:val="both"/>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研究内容：</w:t>
      </w:r>
      <w:r>
        <w:rPr>
          <w:rFonts w:hint="eastAsia" w:ascii="Times New Roman" w:hAnsi="Times New Roman" w:eastAsia="仿宋" w:cs="Times New Roman"/>
          <w:color w:val="000000" w:themeColor="text1"/>
          <w:sz w:val="32"/>
          <w:szCs w:val="32"/>
          <w14:textFill>
            <w14:solidFill>
              <w14:schemeClr w14:val="tx1"/>
            </w14:solidFill>
          </w14:textFill>
        </w:rPr>
        <w:t>研究提升锂离子电池能量密度、循环寿命和安全性能的正负极材料等关键技术；攻克高安全储能系统集成技术，开展主/被动泄爆结构与电池早期热失控预警系统技术研究；研发AI自适应热管理策略；完成10MWh储能样机系统集成与测试。研究电化学、飞轮、超级电容等多种新型储能的多时间尺度互补特性与容量优化配置技术，开发多元储能协同调度控制策略。研究高能量密度高寿命飞轮储能关键技术，研发高比强度复合材料转子、重载磁悬浮轴承及过临界振动控制、多相低损耗永磁同步电机、变流器与快速泄放系统、真空密封与高效散热等关键共性技术；研制大规模单机并联飞轮阵列能量协调管理技术。研究提升超级电容容量和功率的超薄电极技术、高效导电网络和高载流技术；研发基于高容量高功率（双高）超级电容单体的标准化功率模块单元实现柔性扩展；完成基于AIDC瞬时功率支撑的工业电源应用产品开发与测试。</w:t>
      </w:r>
    </w:p>
    <w:p w14:paraId="007C66D9">
      <w:pPr>
        <w:spacing w:after="0" w:line="560" w:lineRule="exact"/>
        <w:ind w:firstLine="640" w:firstLineChars="200"/>
        <w:jc w:val="both"/>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考核指标：</w:t>
      </w:r>
      <w:r>
        <w:rPr>
          <w:rFonts w:hint="eastAsia" w:ascii="Times New Roman" w:hAnsi="Times New Roman" w:eastAsia="仿宋" w:cs="Times New Roman"/>
          <w:color w:val="000000" w:themeColor="text1"/>
          <w:sz w:val="32"/>
          <w:szCs w:val="32"/>
          <w14:textFill>
            <w14:solidFill>
              <w14:schemeClr w14:val="tx1"/>
            </w14:solidFill>
          </w14:textFill>
        </w:rPr>
        <w:t>研制10MWh储能系统样机1台，系统效率＞88%，舱内电芯温差≤5K，储能时长≥6h；形成AI自适应热管理控制策略1套；形成高能量密度磷酸铁锂电芯技术研究报告1份。开发多元储能协同控制策略1套。飞轮储能转子能量密度提升至30-50Wh/kg（不含电机），疲劳寿命突破300万次。研制1.25MW超级电容储能系统和600kW超容柜标准产品各一套；形成双高超级电容单体技术研究报告1份</w:t>
      </w:r>
      <w:r>
        <w:rPr>
          <w:rFonts w:ascii="Times New Roman" w:hAnsi="Times New Roman" w:eastAsia="仿宋" w:cs="Times New Roman"/>
          <w:color w:val="000000" w:themeColor="text1"/>
          <w:sz w:val="32"/>
          <w:szCs w:val="32"/>
          <w14:textFill>
            <w14:solidFill>
              <w14:schemeClr w14:val="tx1"/>
            </w14:solidFill>
          </w14:textFill>
        </w:rPr>
        <w:t>。</w:t>
      </w:r>
    </w:p>
    <w:p w14:paraId="3F823B72">
      <w:pPr>
        <w:spacing w:after="0" w:line="560" w:lineRule="exact"/>
        <w:ind w:firstLine="640" w:firstLineChars="200"/>
        <w:jc w:val="both"/>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关键词：大容量储能</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1000Ah+电芯</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热失控预警</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AI热管理</w:t>
      </w:r>
      <w:r>
        <w:rPr>
          <w:rFonts w:hint="eastAsia" w:ascii="Times New Roman" w:hAnsi="Times New Roman" w:eastAsia="仿宋" w:cs="Times New Roman"/>
          <w:color w:val="000000" w:themeColor="text1"/>
          <w:sz w:val="32"/>
          <w:szCs w:val="32"/>
          <w14:textFill>
            <w14:solidFill>
              <w14:schemeClr w14:val="tx1"/>
            </w14:solidFill>
          </w14:textFill>
        </w:rPr>
        <w:t>，多元储能，飞轮储能，双高超级电容</w:t>
      </w:r>
    </w:p>
    <w:p w14:paraId="3E163CA5">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课题名称：</w:t>
      </w:r>
    </w:p>
    <w:p w14:paraId="76215FB4">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1）高安全大容量储能系统集成技术研究与装备研制</w:t>
      </w:r>
    </w:p>
    <w:p w14:paraId="79616D74">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2）高能量密度长寿命飞轮储能系统技术研究与装备研制</w:t>
      </w:r>
    </w:p>
    <w:p w14:paraId="6E8F561C">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3）多场景超级电容储能系统技术研究与装备研制</w:t>
      </w:r>
    </w:p>
    <w:p w14:paraId="3D75AF2B">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4）多元混合储能系统协同控制与能量管理技术研究</w:t>
      </w:r>
    </w:p>
    <w:p w14:paraId="238FC07B">
      <w:pPr>
        <w:numPr>
          <w:ilvl w:val="255"/>
          <w:numId w:val="0"/>
        </w:numPr>
        <w:spacing w:after="0" w:line="560" w:lineRule="exact"/>
        <w:ind w:firstLine="643" w:firstLineChars="200"/>
        <w:jc w:val="both"/>
        <w:outlineLvl w:val="2"/>
        <w:rPr>
          <w:rFonts w:ascii="Times New Roman" w:hAnsi="Times New Roman" w:eastAsia="仿宋" w:cs="Times New Roman"/>
          <w:b/>
          <w:bCs/>
          <w:sz w:val="32"/>
          <w:szCs w:val="32"/>
          <w:highlight w:val="yellow"/>
        </w:rPr>
      </w:pPr>
      <w:bookmarkStart w:id="6" w:name="_Toc227246241"/>
      <w:r>
        <w:rPr>
          <w:rFonts w:ascii="Times New Roman" w:hAnsi="Times New Roman" w:eastAsia="仿宋" w:cs="Times New Roman"/>
          <w:b/>
          <w:bCs/>
          <w:color w:val="000000" w:themeColor="text1"/>
          <w:sz w:val="32"/>
          <w:szCs w:val="32"/>
          <w:highlight w:val="yellow"/>
          <w14:textFill>
            <w14:solidFill>
              <w14:schemeClr w14:val="tx1"/>
            </w14:solidFill>
          </w14:textFill>
        </w:rPr>
        <w:t>2</w:t>
      </w:r>
      <w:r>
        <w:rPr>
          <w:rFonts w:hint="eastAsia" w:ascii="Times New Roman" w:hAnsi="Times New Roman" w:eastAsia="仿宋" w:cs="Times New Roman"/>
          <w:b/>
          <w:bCs/>
          <w:color w:val="000000" w:themeColor="text1"/>
          <w:sz w:val="32"/>
          <w:szCs w:val="32"/>
          <w:highlight w:val="yellow"/>
          <w14:textFill>
            <w14:solidFill>
              <w14:schemeClr w14:val="tx1"/>
            </w14:solidFill>
          </w14:textFill>
        </w:rPr>
        <w:t>2</w:t>
      </w:r>
      <w:r>
        <w:rPr>
          <w:rFonts w:ascii="Times New Roman" w:hAnsi="Times New Roman" w:eastAsia="仿宋" w:cs="Times New Roman"/>
          <w:b/>
          <w:bCs/>
          <w:color w:val="000000" w:themeColor="text1"/>
          <w:sz w:val="32"/>
          <w:szCs w:val="32"/>
          <w:highlight w:val="yellow"/>
          <w14:textFill>
            <w14:solidFill>
              <w14:schemeClr w14:val="tx1"/>
            </w14:solidFill>
          </w14:textFill>
        </w:rPr>
        <w:t xml:space="preserve">. </w:t>
      </w:r>
      <w:r>
        <w:rPr>
          <w:rFonts w:hint="eastAsia" w:ascii="Times New Roman" w:hAnsi="Times New Roman" w:eastAsia="仿宋" w:cs="Times New Roman"/>
          <w:b/>
          <w:bCs/>
          <w:sz w:val="32"/>
          <w:szCs w:val="32"/>
          <w:highlight w:val="yellow"/>
        </w:rPr>
        <w:t>风光储智慧新能源系统实证基地关键技术研究及示范应用</w:t>
      </w:r>
    </w:p>
    <w:p w14:paraId="5CD7E515">
      <w:pPr>
        <w:spacing w:after="0" w:line="560" w:lineRule="exact"/>
        <w:ind w:firstLine="640" w:firstLineChars="200"/>
        <w:jc w:val="both"/>
        <w:rPr>
          <w:rFonts w:ascii="Times New Roman" w:hAnsi="Times New Roman" w:eastAsia="仿宋" w:cs="Times New Roman"/>
          <w:sz w:val="32"/>
          <w:szCs w:val="32"/>
        </w:rPr>
      </w:pPr>
      <w:r>
        <w:rPr>
          <w:rFonts w:hint="eastAsia" w:ascii="Times New Roman" w:hAnsi="Times New Roman" w:eastAsia="仿宋" w:cs="Times New Roman"/>
          <w:sz w:val="32"/>
          <w:szCs w:val="32"/>
        </w:rPr>
        <w:t>研究内容：基于实证基地开展风电场精细化测试与智慧运维关键技术，包括基于激光雷达的三维时空风场重构技术、融合CFD仿真与实测数据的动态尾流精细建模及验证技术、载荷—功率协同优化控制技术、基于振动/声发射/电信号多模态融合的关键部件故障预测诊断技术、无人机自主巡检与图像智能诊断技术。开展基于AI的新能源功率预测与数字孪生技术研究，包括基于多源气象数据融合的短/中期风光功率预测模型开发、极端天气事件识别与预警算法研究；场站级数字孪生技术及平台，实现物理—虚拟实时映射与仿真推演。开展风光储协同控制关键技术研究，突破多能源系统动态协同优化控制策略与算法；研究多维要素下的源网荷储全环节协同调控技术；研究基于氢/氨的风机-电网物理隔离机制，构建“电-氢/氨-电”能量转换模式；同步研究制氢/氨、储氢/氨及燃氢/氨发电的全产业链协同技术，实现电-氢-氨多能流联合优化调度</w:t>
      </w:r>
      <w:r>
        <w:rPr>
          <w:rFonts w:ascii="Times New Roman" w:hAnsi="Times New Roman" w:eastAsia="仿宋" w:cs="Times New Roman"/>
          <w:sz w:val="32"/>
          <w:szCs w:val="32"/>
        </w:rPr>
        <w:t>。</w:t>
      </w:r>
      <w:r>
        <w:rPr>
          <w:rFonts w:hint="eastAsia" w:ascii="Times New Roman" w:hAnsi="Times New Roman" w:eastAsia="仿宋" w:cs="Times New Roman"/>
          <w:sz w:val="32"/>
          <w:szCs w:val="32"/>
        </w:rPr>
        <w:t>开展风光储智慧新能源系统实证基地规划研究及示范应用。</w:t>
      </w:r>
    </w:p>
    <w:p w14:paraId="3E572C96">
      <w:pPr>
        <w:spacing w:after="0" w:line="560" w:lineRule="exact"/>
        <w:ind w:firstLine="640" w:firstLineChars="200"/>
        <w:jc w:val="both"/>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考核指标：形成AI气象预测、风重构、尾流测试和协同控制、数字孪生和智慧运维技术方案和算法平台1套。通过技术测试和实证，相较于当前未采用数字孪生技术发电收益提升≥5</w:t>
      </w:r>
      <w:r>
        <w:rPr>
          <w:rFonts w:ascii="Times New Roman" w:hAnsi="Times New Roman" w:eastAsia="仿宋" w:cs="Times New Roman"/>
          <w:sz w:val="32"/>
          <w:szCs w:val="32"/>
        </w:rPr>
        <w:t>%</w:t>
      </w:r>
      <w:r>
        <w:rPr>
          <w:rFonts w:hint="eastAsia" w:ascii="Times New Roman" w:hAnsi="Times New Roman" w:eastAsia="仿宋" w:cs="Times New Roman"/>
          <w:sz w:val="32"/>
          <w:szCs w:val="32"/>
        </w:rPr>
        <w:t>。开发智慧能源调控系统协同控制模型1套；形成智慧能源调控算法；形成“电-氢/氨-电”协同调控仿真能力及协同控制模型1套；形成调峰协同算法，仿真调峰能力提升</w:t>
      </w:r>
      <w:bookmarkStart w:id="7" w:name="OLE_LINK2"/>
      <w:r>
        <w:rPr>
          <w:rFonts w:hint="eastAsia" w:ascii="Times New Roman" w:hAnsi="Times New Roman" w:eastAsia="仿宋" w:cs="Times New Roman"/>
          <w:sz w:val="32"/>
          <w:szCs w:val="32"/>
        </w:rPr>
        <w:t>≥20%</w:t>
      </w:r>
      <w:bookmarkEnd w:id="7"/>
      <w:r>
        <w:rPr>
          <w:rFonts w:hint="eastAsia" w:ascii="Times New Roman" w:hAnsi="Times New Roman" w:eastAsia="仿宋" w:cs="Times New Roman"/>
          <w:sz w:val="32"/>
          <w:szCs w:val="32"/>
        </w:rPr>
        <w:t>。形成风光储智慧新能源系统实证基地规划方案1套，建成1个智慧能源系统示范工程。</w:t>
      </w:r>
    </w:p>
    <w:p w14:paraId="77ACFCC6">
      <w:pPr>
        <w:spacing w:after="0" w:line="560" w:lineRule="exact"/>
        <w:jc w:val="both"/>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关键词：技术实证、智慧运维、智慧新能源系统、实证基地、燃氢/氨轮机、风光储氢协同、零碳园区</w:t>
      </w:r>
      <w:bookmarkEnd w:id="6"/>
    </w:p>
    <w:p w14:paraId="682F12D5">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课题名称：</w:t>
      </w:r>
    </w:p>
    <w:p w14:paraId="70F276A1">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1）风电场精细化测试与智慧运维关键技术研究</w:t>
      </w:r>
    </w:p>
    <w:p w14:paraId="20BDE4FE">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2）基于AI的新能源功率预测与数字孪生技术研究</w:t>
      </w:r>
    </w:p>
    <w:p w14:paraId="3006AA55">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3）风光储协同控制关键技术研究</w:t>
      </w:r>
    </w:p>
    <w:p w14:paraId="7B853F07">
      <w:pPr>
        <w:spacing w:after="0" w:line="560" w:lineRule="exact"/>
        <w:ind w:firstLine="640" w:firstLineChars="200"/>
        <w:rPr>
          <w:rFonts w:hint="eastAsia"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4）风光储智慧新能源系统实证基地规划研究</w:t>
      </w:r>
    </w:p>
    <w:p w14:paraId="6C3B7675">
      <w:pPr>
        <w:spacing w:after="0" w:line="560" w:lineRule="exact"/>
        <w:outlineLvl w:val="2"/>
        <w:rPr>
          <w:rFonts w:ascii="Times New Roman" w:hAnsi="Times New Roman" w:eastAsia="仿宋" w:cs="Times New Roman"/>
          <w:color w:val="000000" w:themeColor="text1"/>
          <w:sz w:val="32"/>
          <w:szCs w:val="32"/>
          <w14:textFill>
            <w14:solidFill>
              <w14:schemeClr w14:val="tx1"/>
            </w14:solidFill>
          </w14:textFill>
        </w:rPr>
      </w:pPr>
    </w:p>
    <w:p w14:paraId="0F494BB2">
      <w:pPr>
        <w:spacing w:after="0" w:line="560" w:lineRule="exact"/>
        <w:ind w:firstLine="643" w:firstLineChars="200"/>
        <w:outlineLvl w:val="2"/>
        <w:rPr>
          <w:rFonts w:ascii="Times New Roman" w:hAnsi="Times New Roman" w:eastAsia="仿宋" w:cs="Times New Roman"/>
          <w:b/>
          <w:bCs/>
          <w:color w:val="000000" w:themeColor="text1"/>
          <w:sz w:val="32"/>
          <w:szCs w:val="32"/>
          <w14:textFill>
            <w14:solidFill>
              <w14:schemeClr w14:val="tx1"/>
            </w14:solidFill>
          </w14:textFill>
        </w:rPr>
      </w:pPr>
      <w:bookmarkStart w:id="8" w:name="_Toc227246252"/>
      <w:r>
        <w:rPr>
          <w:rFonts w:hint="eastAsia" w:ascii="Times New Roman" w:hAnsi="Times New Roman" w:eastAsia="仿宋" w:cs="Times New Roman"/>
          <w:b/>
          <w:bCs/>
          <w:color w:val="000000" w:themeColor="text1"/>
          <w:sz w:val="32"/>
          <w:szCs w:val="32"/>
          <w14:textFill>
            <w14:solidFill>
              <w14:schemeClr w14:val="tx1"/>
            </w14:solidFill>
          </w14:textFill>
        </w:rPr>
        <w:t>28</w:t>
      </w:r>
      <w:r>
        <w:rPr>
          <w:rFonts w:ascii="Times New Roman" w:hAnsi="Times New Roman" w:eastAsia="仿宋" w:cs="Times New Roman"/>
          <w:b/>
          <w:bCs/>
          <w:color w:val="000000" w:themeColor="text1"/>
          <w:sz w:val="32"/>
          <w:szCs w:val="32"/>
          <w14:textFill>
            <w14:solidFill>
              <w14:schemeClr w14:val="tx1"/>
            </w14:solidFill>
          </w14:textFill>
        </w:rPr>
        <w:t>. 深远海</w:t>
      </w:r>
      <w:r>
        <w:rPr>
          <w:rFonts w:hint="eastAsia" w:ascii="Times New Roman" w:hAnsi="Times New Roman" w:eastAsia="仿宋" w:cs="Times New Roman"/>
          <w:b/>
          <w:bCs/>
          <w:color w:val="000000" w:themeColor="text1"/>
          <w:sz w:val="32"/>
          <w:szCs w:val="32"/>
          <w14:textFill>
            <w14:solidFill>
              <w14:schemeClr w14:val="tx1"/>
            </w14:solidFill>
          </w14:textFill>
        </w:rPr>
        <w:t>能源岛系统一体化关键技术研究</w:t>
      </w:r>
      <w:bookmarkEnd w:id="8"/>
    </w:p>
    <w:p w14:paraId="09E99541">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研究内容：研究适用于深远海的高稳性超大型浮体模块化设计、可靠性评估及拼接技术。</w:t>
      </w:r>
      <w:r>
        <w:rPr>
          <w:rFonts w:hint="eastAsia" w:ascii="Times New Roman" w:hAnsi="Times New Roman" w:eastAsia="仿宋" w:cs="Times New Roman"/>
          <w:color w:val="000000" w:themeColor="text1"/>
          <w:sz w:val="32"/>
          <w:szCs w:val="32"/>
          <w14:textFill>
            <w14:solidFill>
              <w14:schemeClr w14:val="tx1"/>
            </w14:solidFill>
          </w14:textFill>
        </w:rPr>
        <w:t>研究</w:t>
      </w:r>
      <w:r>
        <w:rPr>
          <w:rFonts w:ascii="Times New Roman" w:hAnsi="Times New Roman" w:eastAsia="仿宋" w:cs="Times New Roman"/>
          <w:color w:val="000000" w:themeColor="text1"/>
          <w:sz w:val="32"/>
          <w:szCs w:val="32"/>
          <w14:textFill>
            <w14:solidFill>
              <w14:schemeClr w14:val="tx1"/>
            </w14:solidFill>
          </w14:textFill>
        </w:rPr>
        <w:t>基于波动性海上风电/光伏的绿电制氢、储氢、输氢及转化（如制氨/醇）技术。</w:t>
      </w:r>
      <w:r>
        <w:rPr>
          <w:rFonts w:hint="eastAsia" w:ascii="Times New Roman" w:hAnsi="Times New Roman" w:eastAsia="仿宋" w:cs="Times New Roman"/>
          <w:color w:val="000000" w:themeColor="text1"/>
          <w:sz w:val="32"/>
          <w:szCs w:val="32"/>
          <w14:textFill>
            <w14:solidFill>
              <w14:schemeClr w14:val="tx1"/>
            </w14:solidFill>
          </w14:textFill>
        </w:rPr>
        <w:t>研究风-波多能互补协同控制及波浪能浮体-风机一体化设计技术；</w:t>
      </w:r>
      <w:r>
        <w:rPr>
          <w:rFonts w:ascii="Times New Roman" w:hAnsi="Times New Roman" w:eastAsia="仿宋" w:cs="Times New Roman"/>
          <w:color w:val="000000" w:themeColor="text1"/>
          <w:sz w:val="32"/>
          <w:szCs w:val="32"/>
          <w14:textFill>
            <w14:solidFill>
              <w14:schemeClr w14:val="tx1"/>
            </w14:solidFill>
          </w14:textFill>
        </w:rPr>
        <w:t>研制适用于深远海环境的水下压缩空气储能等新型储能系统。开发能源平台全域感知数字孪生与“风-光-储-氢”多能协同智慧能量管理系统,</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仿宋" w:cs="Times New Roman"/>
          <w:color w:val="000000" w:themeColor="text1"/>
          <w:sz w:val="32"/>
          <w:szCs w:val="32"/>
          <w14:textFill>
            <w14:solidFill>
              <w14:schemeClr w14:val="tx1"/>
            </w14:solidFill>
          </w14:textFill>
        </w:rPr>
        <w:t>并探索量子计算等先进计算模型在多元能源协同优化中的应用。</w:t>
      </w:r>
    </w:p>
    <w:p w14:paraId="610FA1D3">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考核指标：建成“风-光-储-氢”多能互补海上能源系统数字孪生管控平台1套。建成1个百千瓦-兆瓦级、集成浮体、能源装备、智能管控的海上能源系统测试验证平台</w:t>
      </w:r>
      <w:r>
        <w:rPr>
          <w:rFonts w:hint="eastAsia" w:ascii="Times New Roman" w:hAnsi="Times New Roman" w:eastAsia="仿宋" w:cs="Times New Roman"/>
          <w:color w:val="000000" w:themeColor="text1"/>
          <w:sz w:val="32"/>
          <w:szCs w:val="32"/>
          <w14:textFill>
            <w14:solidFill>
              <w14:schemeClr w14:val="tx1"/>
            </w14:solidFill>
          </w14:textFill>
        </w:rPr>
        <w:t>，实现波动绿电场景下海上制氢样机额定产氢量≥100Nm</w:t>
      </w:r>
      <w:r>
        <w:rPr>
          <w:rFonts w:hint="eastAsia" w:ascii="Times New Roman" w:hAnsi="Times New Roman" w:eastAsia="仿宋" w:cs="Times New Roman"/>
          <w:color w:val="000000" w:themeColor="text1"/>
          <w:sz w:val="32"/>
          <w:szCs w:val="32"/>
          <w:vertAlign w:val="superscript"/>
          <w14:textFill>
            <w14:solidFill>
              <w14:schemeClr w14:val="tx1"/>
            </w14:solidFill>
          </w14:textFill>
        </w:rPr>
        <w:t>3</w:t>
      </w:r>
      <w:r>
        <w:rPr>
          <w:rFonts w:hint="eastAsia" w:ascii="Times New Roman" w:hAnsi="Times New Roman" w:eastAsia="仿宋" w:cs="Times New Roman"/>
          <w:color w:val="000000" w:themeColor="text1"/>
          <w:sz w:val="32"/>
          <w:szCs w:val="32"/>
          <w14:textFill>
            <w14:solidFill>
              <w14:schemeClr w14:val="tx1"/>
            </w14:solidFill>
          </w14:textFill>
        </w:rPr>
        <w:t>/h，制氢直流能耗≤4.15kWh/Nm</w:t>
      </w:r>
      <w:r>
        <w:rPr>
          <w:rFonts w:hint="eastAsia" w:ascii="Times New Roman" w:hAnsi="Times New Roman" w:eastAsia="仿宋" w:cs="Times New Roman"/>
          <w:color w:val="000000" w:themeColor="text1"/>
          <w:sz w:val="32"/>
          <w:szCs w:val="32"/>
          <w:vertAlign w:val="superscript"/>
          <w14:textFill>
            <w14:solidFill>
              <w14:schemeClr w14:val="tx1"/>
            </w14:solidFill>
          </w14:textFill>
        </w:rPr>
        <w:t>3</w:t>
      </w:r>
      <w:r>
        <w:rPr>
          <w:rFonts w:hint="eastAsia" w:ascii="Times New Roman" w:hAnsi="Times New Roman" w:eastAsia="仿宋" w:cs="Times New Roman"/>
          <w:color w:val="000000" w:themeColor="text1"/>
          <w:sz w:val="32"/>
          <w:szCs w:val="32"/>
          <w14:textFill>
            <w14:solidFill>
              <w14:schemeClr w14:val="tx1"/>
            </w14:solidFill>
          </w14:textFill>
        </w:rPr>
        <w:t>，水下空气压缩储能试验样机可在10-20m水深稳定运行、系统能效&gt;70%，多物理场耦合求解效率较经典算法提升1个数量级，数据融合不确定性降低30%以上</w:t>
      </w:r>
      <w:r>
        <w:rPr>
          <w:rFonts w:ascii="Times New Roman" w:hAnsi="Times New Roman" w:eastAsia="仿宋" w:cs="Times New Roman"/>
          <w:color w:val="000000" w:themeColor="text1"/>
          <w:sz w:val="32"/>
          <w:szCs w:val="32"/>
          <w14:textFill>
            <w14:solidFill>
              <w14:schemeClr w14:val="tx1"/>
            </w14:solidFill>
          </w14:textFill>
        </w:rPr>
        <w:t>。</w:t>
      </w:r>
      <w:r>
        <w:rPr>
          <w:rFonts w:hint="eastAsia" w:ascii="Times New Roman" w:hAnsi="Times New Roman" w:eastAsia="仿宋" w:cs="Times New Roman"/>
          <w:color w:val="000000" w:themeColor="text1"/>
          <w:sz w:val="32"/>
          <w:szCs w:val="32"/>
          <w14:textFill>
            <w14:solidFill>
              <w14:schemeClr w14:val="tx1"/>
            </w14:solidFill>
          </w14:textFill>
        </w:rPr>
        <w:t>构建波浪能-风电一体化综合能源平台，实现风电机组功率≥5MW，波浪能发电功率等级≥1MW，平台综合年发电量不低于700万度。</w:t>
      </w:r>
      <w:r>
        <w:rPr>
          <w:rFonts w:ascii="Times New Roman" w:hAnsi="Times New Roman" w:eastAsia="仿宋" w:cs="Times New Roman"/>
          <w:color w:val="000000" w:themeColor="text1"/>
          <w:sz w:val="32"/>
          <w:szCs w:val="32"/>
          <w14:textFill>
            <w14:solidFill>
              <w14:schemeClr w14:val="tx1"/>
            </w14:solidFill>
          </w14:textFill>
        </w:rPr>
        <w:t>形成深远海多能互补系统整体解决方案及相关标准规范草案。</w:t>
      </w:r>
    </w:p>
    <w:p w14:paraId="2FBFF2DF">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关键词：深远海</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能源岛</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多能互补</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绿电制氢</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水下压缩空气储能</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数字孪生</w:t>
      </w:r>
    </w:p>
    <w:p w14:paraId="7C2EE665">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课题名称：</w:t>
      </w:r>
    </w:p>
    <w:p w14:paraId="117F9215">
      <w:pPr>
        <w:spacing w:after="0"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风波一体化漂浮式平台设计集成技术</w:t>
      </w:r>
    </w:p>
    <w:sectPr>
      <w:footerReference r:id="rId5" w:type="default"/>
      <w:pgSz w:w="11906" w:h="16838"/>
      <w:pgMar w:top="1440" w:right="1800" w:bottom="1440" w:left="1800" w:header="851" w:footer="992" w:gutter="0"/>
      <w:pgNumType w:start="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8130644"/>
      <w:docPartObj>
        <w:docPartGallery w:val="AutoText"/>
      </w:docPartObj>
    </w:sdtPr>
    <w:sdtContent>
      <w:p w14:paraId="17E5083D">
        <w:pPr>
          <w:pStyle w:val="14"/>
          <w:jc w:val="center"/>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70B51A2B">
    <w:pPr>
      <w:pStyle w:val="1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C77"/>
    <w:rsid w:val="0000635B"/>
    <w:rsid w:val="000157CC"/>
    <w:rsid w:val="000209D7"/>
    <w:rsid w:val="000232C4"/>
    <w:rsid w:val="00024C4D"/>
    <w:rsid w:val="000258FF"/>
    <w:rsid w:val="00026072"/>
    <w:rsid w:val="00026B0D"/>
    <w:rsid w:val="00027712"/>
    <w:rsid w:val="00033E07"/>
    <w:rsid w:val="00035F5D"/>
    <w:rsid w:val="000475B5"/>
    <w:rsid w:val="00057751"/>
    <w:rsid w:val="00057FCF"/>
    <w:rsid w:val="000604A2"/>
    <w:rsid w:val="0006244D"/>
    <w:rsid w:val="00062C5B"/>
    <w:rsid w:val="00065B41"/>
    <w:rsid w:val="00075CFD"/>
    <w:rsid w:val="0007761C"/>
    <w:rsid w:val="00080E2E"/>
    <w:rsid w:val="00091F56"/>
    <w:rsid w:val="00096F72"/>
    <w:rsid w:val="000971B7"/>
    <w:rsid w:val="000A2257"/>
    <w:rsid w:val="000A7055"/>
    <w:rsid w:val="000A75D8"/>
    <w:rsid w:val="000B513E"/>
    <w:rsid w:val="000C3FB7"/>
    <w:rsid w:val="000D58C6"/>
    <w:rsid w:val="000E3531"/>
    <w:rsid w:val="000F0704"/>
    <w:rsid w:val="000F1269"/>
    <w:rsid w:val="000F2E36"/>
    <w:rsid w:val="000F63C9"/>
    <w:rsid w:val="00102554"/>
    <w:rsid w:val="00103878"/>
    <w:rsid w:val="00106483"/>
    <w:rsid w:val="00106590"/>
    <w:rsid w:val="00111C9E"/>
    <w:rsid w:val="00111CCE"/>
    <w:rsid w:val="00115E1E"/>
    <w:rsid w:val="001262B5"/>
    <w:rsid w:val="00130F74"/>
    <w:rsid w:val="00131AFE"/>
    <w:rsid w:val="001335FA"/>
    <w:rsid w:val="00134D81"/>
    <w:rsid w:val="001356E2"/>
    <w:rsid w:val="00141069"/>
    <w:rsid w:val="0014262B"/>
    <w:rsid w:val="00143B1C"/>
    <w:rsid w:val="00150E08"/>
    <w:rsid w:val="001511E7"/>
    <w:rsid w:val="001522EC"/>
    <w:rsid w:val="00155AF0"/>
    <w:rsid w:val="00155E7C"/>
    <w:rsid w:val="001663C3"/>
    <w:rsid w:val="00174058"/>
    <w:rsid w:val="00174906"/>
    <w:rsid w:val="001825C4"/>
    <w:rsid w:val="00187970"/>
    <w:rsid w:val="00187BCD"/>
    <w:rsid w:val="00193BED"/>
    <w:rsid w:val="00196050"/>
    <w:rsid w:val="00196666"/>
    <w:rsid w:val="001966C9"/>
    <w:rsid w:val="001A0598"/>
    <w:rsid w:val="001A0BE0"/>
    <w:rsid w:val="001A21D5"/>
    <w:rsid w:val="001A3A60"/>
    <w:rsid w:val="001A516A"/>
    <w:rsid w:val="001B3963"/>
    <w:rsid w:val="001B54CC"/>
    <w:rsid w:val="001B76A4"/>
    <w:rsid w:val="001C4EBB"/>
    <w:rsid w:val="001D34EB"/>
    <w:rsid w:val="001D634E"/>
    <w:rsid w:val="001D70E4"/>
    <w:rsid w:val="001E450A"/>
    <w:rsid w:val="001E6EDD"/>
    <w:rsid w:val="001E7534"/>
    <w:rsid w:val="001F0CA4"/>
    <w:rsid w:val="001F0EB5"/>
    <w:rsid w:val="00201984"/>
    <w:rsid w:val="00202348"/>
    <w:rsid w:val="002054A2"/>
    <w:rsid w:val="0020645F"/>
    <w:rsid w:val="0021025A"/>
    <w:rsid w:val="00210315"/>
    <w:rsid w:val="00211B7E"/>
    <w:rsid w:val="002157D2"/>
    <w:rsid w:val="002160A4"/>
    <w:rsid w:val="00225674"/>
    <w:rsid w:val="002260F6"/>
    <w:rsid w:val="00227281"/>
    <w:rsid w:val="002317DD"/>
    <w:rsid w:val="002335FE"/>
    <w:rsid w:val="002370D2"/>
    <w:rsid w:val="0024136E"/>
    <w:rsid w:val="00244D79"/>
    <w:rsid w:val="00244FEB"/>
    <w:rsid w:val="00250A67"/>
    <w:rsid w:val="00256819"/>
    <w:rsid w:val="00256B93"/>
    <w:rsid w:val="00261775"/>
    <w:rsid w:val="00261D5D"/>
    <w:rsid w:val="002652F7"/>
    <w:rsid w:val="00266DC7"/>
    <w:rsid w:val="002711BA"/>
    <w:rsid w:val="00271E9E"/>
    <w:rsid w:val="0027313A"/>
    <w:rsid w:val="00274EF7"/>
    <w:rsid w:val="002754C2"/>
    <w:rsid w:val="002847CE"/>
    <w:rsid w:val="00293600"/>
    <w:rsid w:val="00293752"/>
    <w:rsid w:val="00295AF9"/>
    <w:rsid w:val="002B185C"/>
    <w:rsid w:val="002C6859"/>
    <w:rsid w:val="002E775B"/>
    <w:rsid w:val="002F6F93"/>
    <w:rsid w:val="00302FFF"/>
    <w:rsid w:val="00303962"/>
    <w:rsid w:val="00316F25"/>
    <w:rsid w:val="0032285A"/>
    <w:rsid w:val="0032498F"/>
    <w:rsid w:val="003273A5"/>
    <w:rsid w:val="00330202"/>
    <w:rsid w:val="0033032C"/>
    <w:rsid w:val="003312FF"/>
    <w:rsid w:val="003322E0"/>
    <w:rsid w:val="003337D0"/>
    <w:rsid w:val="003361BE"/>
    <w:rsid w:val="00336C56"/>
    <w:rsid w:val="00340B63"/>
    <w:rsid w:val="003445C8"/>
    <w:rsid w:val="00346911"/>
    <w:rsid w:val="00352EE8"/>
    <w:rsid w:val="00353B6C"/>
    <w:rsid w:val="00354DE0"/>
    <w:rsid w:val="00356E7B"/>
    <w:rsid w:val="00363856"/>
    <w:rsid w:val="00366323"/>
    <w:rsid w:val="00372296"/>
    <w:rsid w:val="003807FD"/>
    <w:rsid w:val="00381EE4"/>
    <w:rsid w:val="00384020"/>
    <w:rsid w:val="00387DC6"/>
    <w:rsid w:val="00390E9C"/>
    <w:rsid w:val="00391C4E"/>
    <w:rsid w:val="00392143"/>
    <w:rsid w:val="00395719"/>
    <w:rsid w:val="00396330"/>
    <w:rsid w:val="003A317C"/>
    <w:rsid w:val="003A337C"/>
    <w:rsid w:val="003A672D"/>
    <w:rsid w:val="003A73BF"/>
    <w:rsid w:val="003B1387"/>
    <w:rsid w:val="003B5B6F"/>
    <w:rsid w:val="003B5EA5"/>
    <w:rsid w:val="003C00BE"/>
    <w:rsid w:val="003D0CFB"/>
    <w:rsid w:val="003D3977"/>
    <w:rsid w:val="003D4DDF"/>
    <w:rsid w:val="003D74F3"/>
    <w:rsid w:val="003D774A"/>
    <w:rsid w:val="003E02B5"/>
    <w:rsid w:val="003E0AA3"/>
    <w:rsid w:val="003E35A3"/>
    <w:rsid w:val="003E5135"/>
    <w:rsid w:val="003F4C50"/>
    <w:rsid w:val="003F6456"/>
    <w:rsid w:val="00412E48"/>
    <w:rsid w:val="00421704"/>
    <w:rsid w:val="00433E56"/>
    <w:rsid w:val="00441804"/>
    <w:rsid w:val="004436FC"/>
    <w:rsid w:val="00446E5B"/>
    <w:rsid w:val="004507A1"/>
    <w:rsid w:val="00452C22"/>
    <w:rsid w:val="0045352C"/>
    <w:rsid w:val="00453CED"/>
    <w:rsid w:val="00456E2C"/>
    <w:rsid w:val="004575DB"/>
    <w:rsid w:val="004706B0"/>
    <w:rsid w:val="00471110"/>
    <w:rsid w:val="0047138E"/>
    <w:rsid w:val="00474EB0"/>
    <w:rsid w:val="00477257"/>
    <w:rsid w:val="00490F5C"/>
    <w:rsid w:val="00494DA1"/>
    <w:rsid w:val="00497FC1"/>
    <w:rsid w:val="004A3F4A"/>
    <w:rsid w:val="004A57F3"/>
    <w:rsid w:val="004A7477"/>
    <w:rsid w:val="004B56A3"/>
    <w:rsid w:val="004C3F8C"/>
    <w:rsid w:val="004D0D8E"/>
    <w:rsid w:val="004D308E"/>
    <w:rsid w:val="004D3718"/>
    <w:rsid w:val="004D3E4B"/>
    <w:rsid w:val="004E7262"/>
    <w:rsid w:val="004F2E25"/>
    <w:rsid w:val="004F4758"/>
    <w:rsid w:val="00520755"/>
    <w:rsid w:val="005208C0"/>
    <w:rsid w:val="005239E6"/>
    <w:rsid w:val="005332B6"/>
    <w:rsid w:val="0053498C"/>
    <w:rsid w:val="00540DCA"/>
    <w:rsid w:val="00546B32"/>
    <w:rsid w:val="00546F6B"/>
    <w:rsid w:val="00550847"/>
    <w:rsid w:val="005545DF"/>
    <w:rsid w:val="00554634"/>
    <w:rsid w:val="005548A6"/>
    <w:rsid w:val="00555F57"/>
    <w:rsid w:val="00561C22"/>
    <w:rsid w:val="00565031"/>
    <w:rsid w:val="00565BC9"/>
    <w:rsid w:val="00575D45"/>
    <w:rsid w:val="00580004"/>
    <w:rsid w:val="0058085B"/>
    <w:rsid w:val="00580A27"/>
    <w:rsid w:val="005930BE"/>
    <w:rsid w:val="005952F9"/>
    <w:rsid w:val="00595B4A"/>
    <w:rsid w:val="005A1568"/>
    <w:rsid w:val="005A6FE8"/>
    <w:rsid w:val="005A732A"/>
    <w:rsid w:val="005B406A"/>
    <w:rsid w:val="005B606D"/>
    <w:rsid w:val="005B79FD"/>
    <w:rsid w:val="005C3CF0"/>
    <w:rsid w:val="005D09ED"/>
    <w:rsid w:val="005D12AC"/>
    <w:rsid w:val="005D1BBE"/>
    <w:rsid w:val="005D3FE4"/>
    <w:rsid w:val="005D402A"/>
    <w:rsid w:val="005D582C"/>
    <w:rsid w:val="005D6B22"/>
    <w:rsid w:val="005E0EC7"/>
    <w:rsid w:val="005E3F1D"/>
    <w:rsid w:val="005E44B1"/>
    <w:rsid w:val="005E44E4"/>
    <w:rsid w:val="005E65D0"/>
    <w:rsid w:val="005E712E"/>
    <w:rsid w:val="005F1F2F"/>
    <w:rsid w:val="005F4A85"/>
    <w:rsid w:val="005F55AF"/>
    <w:rsid w:val="00600F31"/>
    <w:rsid w:val="00602A36"/>
    <w:rsid w:val="006123DF"/>
    <w:rsid w:val="00617870"/>
    <w:rsid w:val="00630D8B"/>
    <w:rsid w:val="006422D7"/>
    <w:rsid w:val="00643456"/>
    <w:rsid w:val="00643983"/>
    <w:rsid w:val="00646869"/>
    <w:rsid w:val="006636CD"/>
    <w:rsid w:val="00665C77"/>
    <w:rsid w:val="00673C2A"/>
    <w:rsid w:val="00677981"/>
    <w:rsid w:val="00682F82"/>
    <w:rsid w:val="006854DB"/>
    <w:rsid w:val="006856BC"/>
    <w:rsid w:val="006923CC"/>
    <w:rsid w:val="006A3996"/>
    <w:rsid w:val="006A4586"/>
    <w:rsid w:val="006A5B13"/>
    <w:rsid w:val="006A7D1F"/>
    <w:rsid w:val="006B5AE3"/>
    <w:rsid w:val="006C358F"/>
    <w:rsid w:val="006C37F6"/>
    <w:rsid w:val="006C3E7F"/>
    <w:rsid w:val="006D3F64"/>
    <w:rsid w:val="006E314A"/>
    <w:rsid w:val="006E38ED"/>
    <w:rsid w:val="006E5C22"/>
    <w:rsid w:val="006F1847"/>
    <w:rsid w:val="006F7176"/>
    <w:rsid w:val="007053A2"/>
    <w:rsid w:val="007061E1"/>
    <w:rsid w:val="0070655C"/>
    <w:rsid w:val="007076DB"/>
    <w:rsid w:val="0071201A"/>
    <w:rsid w:val="00712441"/>
    <w:rsid w:val="00716250"/>
    <w:rsid w:val="0072005C"/>
    <w:rsid w:val="0072135B"/>
    <w:rsid w:val="00721D25"/>
    <w:rsid w:val="00724A6E"/>
    <w:rsid w:val="00732B8B"/>
    <w:rsid w:val="007354FB"/>
    <w:rsid w:val="007365E5"/>
    <w:rsid w:val="0074534F"/>
    <w:rsid w:val="00746099"/>
    <w:rsid w:val="0074635B"/>
    <w:rsid w:val="00750C28"/>
    <w:rsid w:val="00755F96"/>
    <w:rsid w:val="007576EC"/>
    <w:rsid w:val="00757B2E"/>
    <w:rsid w:val="00761D9C"/>
    <w:rsid w:val="00762777"/>
    <w:rsid w:val="00765DEB"/>
    <w:rsid w:val="00770393"/>
    <w:rsid w:val="00770D8E"/>
    <w:rsid w:val="00771B43"/>
    <w:rsid w:val="00771E35"/>
    <w:rsid w:val="00776770"/>
    <w:rsid w:val="00787777"/>
    <w:rsid w:val="00791723"/>
    <w:rsid w:val="00793564"/>
    <w:rsid w:val="007A5254"/>
    <w:rsid w:val="007B3AD0"/>
    <w:rsid w:val="007B419D"/>
    <w:rsid w:val="007B4235"/>
    <w:rsid w:val="007B50F1"/>
    <w:rsid w:val="007B6016"/>
    <w:rsid w:val="007C0EF7"/>
    <w:rsid w:val="007C7380"/>
    <w:rsid w:val="007D1A86"/>
    <w:rsid w:val="007D7B59"/>
    <w:rsid w:val="007E4DE0"/>
    <w:rsid w:val="007E5DD8"/>
    <w:rsid w:val="007F58DB"/>
    <w:rsid w:val="007F72E9"/>
    <w:rsid w:val="007F7F41"/>
    <w:rsid w:val="00800728"/>
    <w:rsid w:val="00804228"/>
    <w:rsid w:val="0080763B"/>
    <w:rsid w:val="0080771B"/>
    <w:rsid w:val="00815F42"/>
    <w:rsid w:val="00824824"/>
    <w:rsid w:val="0082501B"/>
    <w:rsid w:val="00827A4F"/>
    <w:rsid w:val="0083536C"/>
    <w:rsid w:val="00836AE9"/>
    <w:rsid w:val="008375C0"/>
    <w:rsid w:val="0084093A"/>
    <w:rsid w:val="00850CD9"/>
    <w:rsid w:val="00853EA6"/>
    <w:rsid w:val="00854AA9"/>
    <w:rsid w:val="0085557A"/>
    <w:rsid w:val="00855891"/>
    <w:rsid w:val="00862CCF"/>
    <w:rsid w:val="0086762E"/>
    <w:rsid w:val="0087553C"/>
    <w:rsid w:val="00876621"/>
    <w:rsid w:val="0088125F"/>
    <w:rsid w:val="0088346B"/>
    <w:rsid w:val="00883852"/>
    <w:rsid w:val="0088530D"/>
    <w:rsid w:val="00887007"/>
    <w:rsid w:val="00890AD2"/>
    <w:rsid w:val="008968C0"/>
    <w:rsid w:val="008A239D"/>
    <w:rsid w:val="008B0BE9"/>
    <w:rsid w:val="008B3197"/>
    <w:rsid w:val="008B3936"/>
    <w:rsid w:val="008B4321"/>
    <w:rsid w:val="008C3552"/>
    <w:rsid w:val="008C5226"/>
    <w:rsid w:val="008C55D4"/>
    <w:rsid w:val="008C7964"/>
    <w:rsid w:val="008C7DE3"/>
    <w:rsid w:val="008D1B38"/>
    <w:rsid w:val="008D7B65"/>
    <w:rsid w:val="008E1E94"/>
    <w:rsid w:val="008E6FE9"/>
    <w:rsid w:val="008F0C9C"/>
    <w:rsid w:val="008F15A9"/>
    <w:rsid w:val="008F1F35"/>
    <w:rsid w:val="008F7FC2"/>
    <w:rsid w:val="009031F1"/>
    <w:rsid w:val="00904666"/>
    <w:rsid w:val="009112E8"/>
    <w:rsid w:val="00913FF3"/>
    <w:rsid w:val="00914B06"/>
    <w:rsid w:val="00915CFF"/>
    <w:rsid w:val="009163C8"/>
    <w:rsid w:val="009170D4"/>
    <w:rsid w:val="00925288"/>
    <w:rsid w:val="009302A8"/>
    <w:rsid w:val="00930E73"/>
    <w:rsid w:val="009318DC"/>
    <w:rsid w:val="009324B3"/>
    <w:rsid w:val="00936ECB"/>
    <w:rsid w:val="009457C1"/>
    <w:rsid w:val="00946E57"/>
    <w:rsid w:val="0095379A"/>
    <w:rsid w:val="009612DA"/>
    <w:rsid w:val="0096336D"/>
    <w:rsid w:val="00965315"/>
    <w:rsid w:val="0096706E"/>
    <w:rsid w:val="009677D7"/>
    <w:rsid w:val="00970EDF"/>
    <w:rsid w:val="009745D5"/>
    <w:rsid w:val="009814D9"/>
    <w:rsid w:val="009824C0"/>
    <w:rsid w:val="009826FD"/>
    <w:rsid w:val="0098276A"/>
    <w:rsid w:val="0098425E"/>
    <w:rsid w:val="00987900"/>
    <w:rsid w:val="00990014"/>
    <w:rsid w:val="00997356"/>
    <w:rsid w:val="00997433"/>
    <w:rsid w:val="009A63EE"/>
    <w:rsid w:val="009B1BB9"/>
    <w:rsid w:val="009B1EBC"/>
    <w:rsid w:val="009B3FA2"/>
    <w:rsid w:val="009B441B"/>
    <w:rsid w:val="009B4C0C"/>
    <w:rsid w:val="009C7D5B"/>
    <w:rsid w:val="009D09C1"/>
    <w:rsid w:val="009D0F9D"/>
    <w:rsid w:val="009E0030"/>
    <w:rsid w:val="009E0D98"/>
    <w:rsid w:val="009E7C1C"/>
    <w:rsid w:val="009F7469"/>
    <w:rsid w:val="00A01E37"/>
    <w:rsid w:val="00A02274"/>
    <w:rsid w:val="00A04814"/>
    <w:rsid w:val="00A101AE"/>
    <w:rsid w:val="00A10E0B"/>
    <w:rsid w:val="00A1362D"/>
    <w:rsid w:val="00A13812"/>
    <w:rsid w:val="00A23BB8"/>
    <w:rsid w:val="00A26326"/>
    <w:rsid w:val="00A30DD8"/>
    <w:rsid w:val="00A30E7B"/>
    <w:rsid w:val="00A34559"/>
    <w:rsid w:val="00A358CA"/>
    <w:rsid w:val="00A360FA"/>
    <w:rsid w:val="00A42D56"/>
    <w:rsid w:val="00A5089A"/>
    <w:rsid w:val="00A509F6"/>
    <w:rsid w:val="00A51EBC"/>
    <w:rsid w:val="00A61FC6"/>
    <w:rsid w:val="00A7729E"/>
    <w:rsid w:val="00A8007A"/>
    <w:rsid w:val="00A84310"/>
    <w:rsid w:val="00A93ADB"/>
    <w:rsid w:val="00A9719F"/>
    <w:rsid w:val="00AA20E7"/>
    <w:rsid w:val="00AA2DD1"/>
    <w:rsid w:val="00AA361B"/>
    <w:rsid w:val="00AA55C3"/>
    <w:rsid w:val="00AA5607"/>
    <w:rsid w:val="00AA59E5"/>
    <w:rsid w:val="00AA6E33"/>
    <w:rsid w:val="00AB0810"/>
    <w:rsid w:val="00AB0856"/>
    <w:rsid w:val="00AB6E64"/>
    <w:rsid w:val="00AC2A18"/>
    <w:rsid w:val="00AC33A8"/>
    <w:rsid w:val="00AC6929"/>
    <w:rsid w:val="00AD1B96"/>
    <w:rsid w:val="00AD6031"/>
    <w:rsid w:val="00AE32A0"/>
    <w:rsid w:val="00AE3988"/>
    <w:rsid w:val="00AF2646"/>
    <w:rsid w:val="00B01AF4"/>
    <w:rsid w:val="00B01CC4"/>
    <w:rsid w:val="00B02057"/>
    <w:rsid w:val="00B028C6"/>
    <w:rsid w:val="00B07614"/>
    <w:rsid w:val="00B1077C"/>
    <w:rsid w:val="00B12927"/>
    <w:rsid w:val="00B20B6C"/>
    <w:rsid w:val="00B21F35"/>
    <w:rsid w:val="00B25486"/>
    <w:rsid w:val="00B3756D"/>
    <w:rsid w:val="00B405A1"/>
    <w:rsid w:val="00B43E05"/>
    <w:rsid w:val="00B468CE"/>
    <w:rsid w:val="00B53F4D"/>
    <w:rsid w:val="00B61DBF"/>
    <w:rsid w:val="00B67447"/>
    <w:rsid w:val="00B71CA9"/>
    <w:rsid w:val="00B74DF0"/>
    <w:rsid w:val="00B76959"/>
    <w:rsid w:val="00B77CDA"/>
    <w:rsid w:val="00B77E7A"/>
    <w:rsid w:val="00B918F9"/>
    <w:rsid w:val="00B974B7"/>
    <w:rsid w:val="00BA0C56"/>
    <w:rsid w:val="00BA0C62"/>
    <w:rsid w:val="00BA1369"/>
    <w:rsid w:val="00BA58F2"/>
    <w:rsid w:val="00BB0404"/>
    <w:rsid w:val="00BB25FB"/>
    <w:rsid w:val="00BB4109"/>
    <w:rsid w:val="00BB470D"/>
    <w:rsid w:val="00BB5202"/>
    <w:rsid w:val="00BC307F"/>
    <w:rsid w:val="00BC30EE"/>
    <w:rsid w:val="00BD0C28"/>
    <w:rsid w:val="00BD1B25"/>
    <w:rsid w:val="00BD2CD3"/>
    <w:rsid w:val="00BE1F0B"/>
    <w:rsid w:val="00BE3F0D"/>
    <w:rsid w:val="00BE58BD"/>
    <w:rsid w:val="00BE6E5E"/>
    <w:rsid w:val="00BE7CCA"/>
    <w:rsid w:val="00BF00DA"/>
    <w:rsid w:val="00BF1649"/>
    <w:rsid w:val="00BF1CBC"/>
    <w:rsid w:val="00BF34F8"/>
    <w:rsid w:val="00BF3A5C"/>
    <w:rsid w:val="00BF41F4"/>
    <w:rsid w:val="00BF52EA"/>
    <w:rsid w:val="00BF7734"/>
    <w:rsid w:val="00C00EDB"/>
    <w:rsid w:val="00C0372B"/>
    <w:rsid w:val="00C03B0F"/>
    <w:rsid w:val="00C07477"/>
    <w:rsid w:val="00C07835"/>
    <w:rsid w:val="00C16FA7"/>
    <w:rsid w:val="00C3471C"/>
    <w:rsid w:val="00C407E9"/>
    <w:rsid w:val="00C46403"/>
    <w:rsid w:val="00C47E99"/>
    <w:rsid w:val="00C5696E"/>
    <w:rsid w:val="00C56FC7"/>
    <w:rsid w:val="00C636CA"/>
    <w:rsid w:val="00C65045"/>
    <w:rsid w:val="00C6572E"/>
    <w:rsid w:val="00C670E5"/>
    <w:rsid w:val="00C763CF"/>
    <w:rsid w:val="00C77D2A"/>
    <w:rsid w:val="00C82550"/>
    <w:rsid w:val="00C84DE2"/>
    <w:rsid w:val="00C90CAA"/>
    <w:rsid w:val="00C92FB5"/>
    <w:rsid w:val="00C94CBB"/>
    <w:rsid w:val="00C96178"/>
    <w:rsid w:val="00C96F84"/>
    <w:rsid w:val="00CA1EE5"/>
    <w:rsid w:val="00CA2BB5"/>
    <w:rsid w:val="00CA2CD0"/>
    <w:rsid w:val="00CA617C"/>
    <w:rsid w:val="00CA76BF"/>
    <w:rsid w:val="00CB160F"/>
    <w:rsid w:val="00CB4B9F"/>
    <w:rsid w:val="00CC02F2"/>
    <w:rsid w:val="00CC7DB1"/>
    <w:rsid w:val="00CD6559"/>
    <w:rsid w:val="00CD7408"/>
    <w:rsid w:val="00CE35B9"/>
    <w:rsid w:val="00CE6604"/>
    <w:rsid w:val="00CE732E"/>
    <w:rsid w:val="00CE76B8"/>
    <w:rsid w:val="00CF15C3"/>
    <w:rsid w:val="00CF779C"/>
    <w:rsid w:val="00D012A7"/>
    <w:rsid w:val="00D034DF"/>
    <w:rsid w:val="00D0784A"/>
    <w:rsid w:val="00D079F2"/>
    <w:rsid w:val="00D13937"/>
    <w:rsid w:val="00D14683"/>
    <w:rsid w:val="00D17B17"/>
    <w:rsid w:val="00D22084"/>
    <w:rsid w:val="00D23C42"/>
    <w:rsid w:val="00D24E07"/>
    <w:rsid w:val="00D30531"/>
    <w:rsid w:val="00D3390A"/>
    <w:rsid w:val="00D368E3"/>
    <w:rsid w:val="00D37877"/>
    <w:rsid w:val="00D51741"/>
    <w:rsid w:val="00D52090"/>
    <w:rsid w:val="00D5232D"/>
    <w:rsid w:val="00D600E8"/>
    <w:rsid w:val="00D60538"/>
    <w:rsid w:val="00D63A25"/>
    <w:rsid w:val="00D64D91"/>
    <w:rsid w:val="00D72126"/>
    <w:rsid w:val="00D759F8"/>
    <w:rsid w:val="00D83F16"/>
    <w:rsid w:val="00D93DE3"/>
    <w:rsid w:val="00D94DC2"/>
    <w:rsid w:val="00D97F72"/>
    <w:rsid w:val="00DA0665"/>
    <w:rsid w:val="00DA13EC"/>
    <w:rsid w:val="00DA31F6"/>
    <w:rsid w:val="00DB4045"/>
    <w:rsid w:val="00DB7963"/>
    <w:rsid w:val="00DC2BD8"/>
    <w:rsid w:val="00DC66FB"/>
    <w:rsid w:val="00DD0F70"/>
    <w:rsid w:val="00DD221C"/>
    <w:rsid w:val="00DD3B64"/>
    <w:rsid w:val="00DD4216"/>
    <w:rsid w:val="00DD5020"/>
    <w:rsid w:val="00DD5BED"/>
    <w:rsid w:val="00DE1DB2"/>
    <w:rsid w:val="00DE29DC"/>
    <w:rsid w:val="00DE4194"/>
    <w:rsid w:val="00DF1DEB"/>
    <w:rsid w:val="00DF2D11"/>
    <w:rsid w:val="00E12112"/>
    <w:rsid w:val="00E1666E"/>
    <w:rsid w:val="00E20E96"/>
    <w:rsid w:val="00E20FE0"/>
    <w:rsid w:val="00E22667"/>
    <w:rsid w:val="00E33BCD"/>
    <w:rsid w:val="00E37575"/>
    <w:rsid w:val="00E37F90"/>
    <w:rsid w:val="00E443F3"/>
    <w:rsid w:val="00E450C4"/>
    <w:rsid w:val="00E54350"/>
    <w:rsid w:val="00E55BFA"/>
    <w:rsid w:val="00E56C72"/>
    <w:rsid w:val="00E64598"/>
    <w:rsid w:val="00E6466D"/>
    <w:rsid w:val="00E72160"/>
    <w:rsid w:val="00E73D07"/>
    <w:rsid w:val="00E74D15"/>
    <w:rsid w:val="00E75E7F"/>
    <w:rsid w:val="00E83878"/>
    <w:rsid w:val="00E8467D"/>
    <w:rsid w:val="00E849CB"/>
    <w:rsid w:val="00E869E3"/>
    <w:rsid w:val="00E9188A"/>
    <w:rsid w:val="00E92925"/>
    <w:rsid w:val="00E954D0"/>
    <w:rsid w:val="00E97E0E"/>
    <w:rsid w:val="00EA03D4"/>
    <w:rsid w:val="00EA0514"/>
    <w:rsid w:val="00EA0A6F"/>
    <w:rsid w:val="00EA60EA"/>
    <w:rsid w:val="00EB76D6"/>
    <w:rsid w:val="00EC1D1D"/>
    <w:rsid w:val="00EC64FA"/>
    <w:rsid w:val="00EC7225"/>
    <w:rsid w:val="00EC725A"/>
    <w:rsid w:val="00ED2583"/>
    <w:rsid w:val="00ED5947"/>
    <w:rsid w:val="00EE0532"/>
    <w:rsid w:val="00EE1237"/>
    <w:rsid w:val="00EE32A2"/>
    <w:rsid w:val="00EE333D"/>
    <w:rsid w:val="00EE58CF"/>
    <w:rsid w:val="00EE7650"/>
    <w:rsid w:val="00EF6281"/>
    <w:rsid w:val="00EF7B34"/>
    <w:rsid w:val="00F019CA"/>
    <w:rsid w:val="00F0470C"/>
    <w:rsid w:val="00F0731D"/>
    <w:rsid w:val="00F16E4C"/>
    <w:rsid w:val="00F211DF"/>
    <w:rsid w:val="00F24CED"/>
    <w:rsid w:val="00F259B7"/>
    <w:rsid w:val="00F32CEF"/>
    <w:rsid w:val="00F336E7"/>
    <w:rsid w:val="00F36C99"/>
    <w:rsid w:val="00F40249"/>
    <w:rsid w:val="00F41211"/>
    <w:rsid w:val="00F504BF"/>
    <w:rsid w:val="00F657D4"/>
    <w:rsid w:val="00F70FF2"/>
    <w:rsid w:val="00F71DA9"/>
    <w:rsid w:val="00F74D55"/>
    <w:rsid w:val="00F773B2"/>
    <w:rsid w:val="00F804C8"/>
    <w:rsid w:val="00F81B13"/>
    <w:rsid w:val="00F91FA6"/>
    <w:rsid w:val="00F93C49"/>
    <w:rsid w:val="00FA0192"/>
    <w:rsid w:val="00FA05AF"/>
    <w:rsid w:val="00FA780C"/>
    <w:rsid w:val="00FB159E"/>
    <w:rsid w:val="00FC55BD"/>
    <w:rsid w:val="00FC7084"/>
    <w:rsid w:val="00FD2803"/>
    <w:rsid w:val="00FD2EC0"/>
    <w:rsid w:val="00FD59F5"/>
    <w:rsid w:val="00FD7D0C"/>
    <w:rsid w:val="00FE2563"/>
    <w:rsid w:val="00FE72B5"/>
    <w:rsid w:val="00FF42B5"/>
    <w:rsid w:val="7B9E0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4">
    <w:name w:val="Default Paragraph Font"/>
    <w:semiHidden/>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52"/>
    <w:semiHidden/>
    <w:unhideWhenUsed/>
    <w:qFormat/>
    <w:uiPriority w:val="99"/>
    <w:pPr>
      <w:spacing w:line="276" w:lineRule="auto"/>
    </w:pPr>
    <w:rPr>
      <w14:ligatures w14:val="none"/>
    </w:rPr>
  </w:style>
  <w:style w:type="paragraph" w:styleId="12">
    <w:name w:val="toc 3"/>
    <w:basedOn w:val="1"/>
    <w:next w:val="1"/>
    <w:autoRedefine/>
    <w:unhideWhenUsed/>
    <w:qFormat/>
    <w:uiPriority w:val="39"/>
    <w:pPr>
      <w:widowControl/>
      <w:spacing w:after="100" w:line="259" w:lineRule="auto"/>
      <w:ind w:left="440"/>
    </w:pPr>
    <w:rPr>
      <w:rFonts w:cs="Times New Roman"/>
      <w:kern w:val="0"/>
      <w:szCs w:val="22"/>
      <w14:ligatures w14:val="none"/>
    </w:rPr>
  </w:style>
  <w:style w:type="paragraph" w:styleId="13">
    <w:name w:val="Date"/>
    <w:basedOn w:val="1"/>
    <w:next w:val="1"/>
    <w:link w:val="48"/>
    <w:semiHidden/>
    <w:unhideWhenUsed/>
    <w:qFormat/>
    <w:uiPriority w:val="99"/>
    <w:pPr>
      <w:ind w:left="100" w:leftChars="2500"/>
    </w:pPr>
  </w:style>
  <w:style w:type="paragraph" w:styleId="14">
    <w:name w:val="footer"/>
    <w:basedOn w:val="1"/>
    <w:link w:val="46"/>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5"/>
    <w:unhideWhenUsed/>
    <w:qFormat/>
    <w:uiPriority w:val="99"/>
    <w:pPr>
      <w:tabs>
        <w:tab w:val="center" w:pos="4153"/>
        <w:tab w:val="right" w:pos="8306"/>
      </w:tabs>
      <w:snapToGrid w:val="0"/>
      <w:spacing w:line="240" w:lineRule="auto"/>
      <w:jc w:val="center"/>
    </w:pPr>
    <w:rPr>
      <w:sz w:val="18"/>
      <w:szCs w:val="18"/>
    </w:rPr>
  </w:style>
  <w:style w:type="paragraph" w:styleId="16">
    <w:name w:val="toc 1"/>
    <w:basedOn w:val="1"/>
    <w:next w:val="1"/>
    <w:autoRedefine/>
    <w:unhideWhenUsed/>
    <w:qFormat/>
    <w:uiPriority w:val="39"/>
    <w:pPr>
      <w:widowControl/>
      <w:spacing w:after="100" w:line="259" w:lineRule="auto"/>
    </w:pPr>
    <w:rPr>
      <w:rFonts w:cs="Times New Roman"/>
      <w:kern w:val="0"/>
      <w:szCs w:val="22"/>
      <w14:ligatures w14:val="none"/>
    </w:rPr>
  </w:style>
  <w:style w:type="paragraph" w:styleId="17">
    <w:name w:val="Subtitle"/>
    <w:basedOn w:val="1"/>
    <w:next w:val="1"/>
    <w:link w:val="3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unhideWhenUsed/>
    <w:qFormat/>
    <w:uiPriority w:val="39"/>
    <w:pPr>
      <w:widowControl/>
      <w:spacing w:after="100" w:line="259" w:lineRule="auto"/>
      <w:ind w:left="220"/>
    </w:pPr>
    <w:rPr>
      <w:rFonts w:cs="Times New Roman"/>
      <w:kern w:val="0"/>
      <w:szCs w:val="22"/>
      <w14:ligatures w14:val="none"/>
    </w:rPr>
  </w:style>
  <w:style w:type="paragraph" w:styleId="19">
    <w:name w:val="Normal (Web)"/>
    <w:basedOn w:val="1"/>
    <w:semiHidden/>
    <w:unhideWhenUsed/>
    <w:qFormat/>
    <w:uiPriority w:val="99"/>
    <w:rPr>
      <w:rFonts w:ascii="Times New Roman" w:hAnsi="Times New Roman" w:cs="Times New Roman"/>
      <w:sz w:val="24"/>
    </w:rPr>
  </w:style>
  <w:style w:type="paragraph" w:styleId="20">
    <w:name w:val="Title"/>
    <w:basedOn w:val="1"/>
    <w:next w:val="1"/>
    <w:link w:val="3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21">
    <w:name w:val="annotation subject"/>
    <w:basedOn w:val="11"/>
    <w:next w:val="11"/>
    <w:link w:val="54"/>
    <w:semiHidden/>
    <w:unhideWhenUsed/>
    <w:qFormat/>
    <w:uiPriority w:val="99"/>
    <w:pPr>
      <w:spacing w:line="278" w:lineRule="auto"/>
    </w:pPr>
    <w:rPr>
      <w:b/>
      <w:bCs/>
      <w14:ligatures w14:val="standardContextual"/>
    </w:rPr>
  </w:style>
  <w:style w:type="table" w:styleId="23">
    <w:name w:val="Table Grid"/>
    <w:basedOn w:val="2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467886" w:themeColor="hyperlink"/>
      <w:u w:val="single"/>
      <w14:textFill>
        <w14:solidFill>
          <w14:schemeClr w14:val="hlink"/>
        </w14:solidFill>
      </w14:textFill>
    </w:rPr>
  </w:style>
  <w:style w:type="character" w:styleId="26">
    <w:name w:val="annotation reference"/>
    <w:basedOn w:val="24"/>
    <w:semiHidden/>
    <w:unhideWhenUsed/>
    <w:qFormat/>
    <w:uiPriority w:val="99"/>
    <w:rPr>
      <w:sz w:val="21"/>
      <w:szCs w:val="21"/>
    </w:rPr>
  </w:style>
  <w:style w:type="character" w:customStyle="1" w:styleId="27">
    <w:name w:val="标题 1 字符"/>
    <w:basedOn w:val="24"/>
    <w:link w:val="2"/>
    <w:qFormat/>
    <w:uiPriority w:val="9"/>
    <w:rPr>
      <w:rFonts w:asciiTheme="majorHAnsi" w:hAnsiTheme="majorHAnsi" w:eastAsiaTheme="majorEastAsia" w:cstheme="majorBidi"/>
      <w:color w:val="104862" w:themeColor="accent1" w:themeShade="BF"/>
      <w:sz w:val="48"/>
      <w:szCs w:val="48"/>
    </w:rPr>
  </w:style>
  <w:style w:type="character" w:customStyle="1" w:styleId="28">
    <w:name w:val="标题 2 字符"/>
    <w:basedOn w:val="2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9">
    <w:name w:val="标题 3 字符"/>
    <w:basedOn w:val="2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0">
    <w:name w:val="标题 4 字符"/>
    <w:basedOn w:val="24"/>
    <w:link w:val="5"/>
    <w:semiHidden/>
    <w:qFormat/>
    <w:uiPriority w:val="9"/>
    <w:rPr>
      <w:rFonts w:cstheme="majorBidi"/>
      <w:color w:val="104862" w:themeColor="accent1" w:themeShade="BF"/>
      <w:sz w:val="28"/>
      <w:szCs w:val="28"/>
    </w:rPr>
  </w:style>
  <w:style w:type="character" w:customStyle="1" w:styleId="31">
    <w:name w:val="标题 5 字符"/>
    <w:basedOn w:val="24"/>
    <w:link w:val="6"/>
    <w:semiHidden/>
    <w:qFormat/>
    <w:uiPriority w:val="9"/>
    <w:rPr>
      <w:rFonts w:cstheme="majorBidi"/>
      <w:color w:val="104862" w:themeColor="accent1" w:themeShade="BF"/>
      <w:sz w:val="24"/>
    </w:rPr>
  </w:style>
  <w:style w:type="character" w:customStyle="1" w:styleId="32">
    <w:name w:val="标题 6 字符"/>
    <w:basedOn w:val="24"/>
    <w:link w:val="7"/>
    <w:semiHidden/>
    <w:qFormat/>
    <w:uiPriority w:val="9"/>
    <w:rPr>
      <w:rFonts w:cstheme="majorBidi"/>
      <w:b/>
      <w:bCs/>
      <w:color w:val="104862" w:themeColor="accent1" w:themeShade="BF"/>
    </w:rPr>
  </w:style>
  <w:style w:type="character" w:customStyle="1" w:styleId="33">
    <w:name w:val="标题 7 字符"/>
    <w:basedOn w:val="2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4">
    <w:name w:val="标题 8 字符"/>
    <w:basedOn w:val="2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5">
    <w:name w:val="标题 9 字符"/>
    <w:basedOn w:val="2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标题 字符"/>
    <w:basedOn w:val="24"/>
    <w:link w:val="20"/>
    <w:qFormat/>
    <w:uiPriority w:val="10"/>
    <w:rPr>
      <w:rFonts w:asciiTheme="majorHAnsi" w:hAnsiTheme="majorHAnsi" w:eastAsiaTheme="majorEastAsia" w:cstheme="majorBidi"/>
      <w:spacing w:val="-10"/>
      <w:kern w:val="28"/>
      <w:sz w:val="56"/>
      <w:szCs w:val="56"/>
    </w:rPr>
  </w:style>
  <w:style w:type="character" w:customStyle="1" w:styleId="37">
    <w:name w:val="副标题 字符"/>
    <w:basedOn w:val="24"/>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引用 字符"/>
    <w:basedOn w:val="24"/>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24"/>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明显引用 字符"/>
    <w:basedOn w:val="24"/>
    <w:link w:val="42"/>
    <w:qFormat/>
    <w:uiPriority w:val="30"/>
    <w:rPr>
      <w:i/>
      <w:iCs/>
      <w:color w:val="104862" w:themeColor="accent1" w:themeShade="BF"/>
    </w:rPr>
  </w:style>
  <w:style w:type="character" w:customStyle="1" w:styleId="44">
    <w:name w:val="Intense Reference"/>
    <w:basedOn w:val="24"/>
    <w:qFormat/>
    <w:uiPriority w:val="32"/>
    <w:rPr>
      <w:b/>
      <w:bCs/>
      <w:smallCaps/>
      <w:color w:val="104862" w:themeColor="accent1" w:themeShade="BF"/>
      <w:spacing w:val="5"/>
    </w:rPr>
  </w:style>
  <w:style w:type="character" w:customStyle="1" w:styleId="45">
    <w:name w:val="页眉 字符"/>
    <w:basedOn w:val="24"/>
    <w:link w:val="15"/>
    <w:qFormat/>
    <w:uiPriority w:val="99"/>
    <w:rPr>
      <w:sz w:val="18"/>
      <w:szCs w:val="18"/>
    </w:rPr>
  </w:style>
  <w:style w:type="character" w:customStyle="1" w:styleId="46">
    <w:name w:val="页脚 字符"/>
    <w:basedOn w:val="24"/>
    <w:link w:val="14"/>
    <w:qFormat/>
    <w:uiPriority w:val="99"/>
    <w:rPr>
      <w:sz w:val="18"/>
      <w:szCs w:val="18"/>
    </w:rPr>
  </w:style>
  <w:style w:type="paragraph" w:customStyle="1" w:styleId="47">
    <w:name w:val="TOC Heading"/>
    <w:basedOn w:val="2"/>
    <w:next w:val="1"/>
    <w:unhideWhenUsed/>
    <w:qFormat/>
    <w:uiPriority w:val="39"/>
    <w:pPr>
      <w:widowControl/>
      <w:spacing w:before="240" w:after="0" w:line="259" w:lineRule="auto"/>
      <w:outlineLvl w:val="9"/>
    </w:pPr>
    <w:rPr>
      <w:kern w:val="0"/>
      <w:sz w:val="32"/>
      <w:szCs w:val="32"/>
      <w14:ligatures w14:val="none"/>
    </w:rPr>
  </w:style>
  <w:style w:type="character" w:customStyle="1" w:styleId="48">
    <w:name w:val="日期 字符"/>
    <w:basedOn w:val="24"/>
    <w:link w:val="13"/>
    <w:semiHidden/>
    <w:qFormat/>
    <w:uiPriority w:val="99"/>
  </w:style>
  <w:style w:type="character" w:customStyle="1" w:styleId="49">
    <w:name w:val="Unresolved Mention"/>
    <w:basedOn w:val="24"/>
    <w:semiHidden/>
    <w:unhideWhenUsed/>
    <w:qFormat/>
    <w:uiPriority w:val="99"/>
    <w:rPr>
      <w:color w:val="605E5C"/>
      <w:shd w:val="clear" w:color="auto" w:fill="E1DFDD"/>
    </w:rPr>
  </w:style>
  <w:style w:type="paragraph" w:customStyle="1" w:styleId="50">
    <w:name w:val="Revision"/>
    <w:hidden/>
    <w:semiHidden/>
    <w:qFormat/>
    <w:uiPriority w:val="99"/>
    <w:pPr>
      <w:spacing w:after="0" w:line="240" w:lineRule="auto"/>
    </w:pPr>
    <w:rPr>
      <w:rFonts w:asciiTheme="minorHAnsi" w:hAnsiTheme="minorHAnsi" w:eastAsiaTheme="minorEastAsia" w:cstheme="minorBidi"/>
      <w:kern w:val="2"/>
      <w:sz w:val="22"/>
      <w:szCs w:val="24"/>
      <w:lang w:val="en-US" w:eastAsia="zh-CN" w:bidi="ar-SA"/>
      <w14:ligatures w14:val="standardContextual"/>
    </w:rPr>
  </w:style>
  <w:style w:type="character" w:customStyle="1" w:styleId="51">
    <w:name w:val="apple-converted-space"/>
    <w:basedOn w:val="24"/>
    <w:qFormat/>
    <w:uiPriority w:val="0"/>
  </w:style>
  <w:style w:type="character" w:customStyle="1" w:styleId="52">
    <w:name w:val="批注文字 字符"/>
    <w:basedOn w:val="24"/>
    <w:link w:val="11"/>
    <w:semiHidden/>
    <w:qFormat/>
    <w:uiPriority w:val="99"/>
    <w:rPr>
      <w14:ligatures w14:val="none"/>
    </w:rPr>
  </w:style>
  <w:style w:type="character" w:styleId="53">
    <w:name w:val="Placeholder Text"/>
    <w:basedOn w:val="24"/>
    <w:semiHidden/>
    <w:qFormat/>
    <w:uiPriority w:val="99"/>
    <w:rPr>
      <w:color w:val="666666"/>
    </w:rPr>
  </w:style>
  <w:style w:type="character" w:customStyle="1" w:styleId="54">
    <w:name w:val="批注主题 字符"/>
    <w:basedOn w:val="52"/>
    <w:link w:val="21"/>
    <w:semiHidden/>
    <w:qFormat/>
    <w:uiPriority w:val="99"/>
    <w:rPr>
      <w:b/>
      <w:bCs/>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E1151-834C-4F2F-BF99-A6BC42CF3769}">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4482</Words>
  <Characters>4626</Characters>
  <Lines>33</Lines>
  <Paragraphs>9</Paragraphs>
  <TotalTime>684</TotalTime>
  <ScaleCrop>false</ScaleCrop>
  <LinksUpToDate>false</LinksUpToDate>
  <CharactersWithSpaces>4634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2026-04-15T02:10:00Z</dcterms:created>
  <dc:creator>zh</dc:creator>
  <cp:lastModifiedBy>刘芷言</cp:lastModifiedBy>
  <cp:lastPrinted>2026-04-17T01:51:00Z</cp:lastPrinted>
  <dcterms:modified xsi:type="dcterms:W3CDTF">2026-04-28T09:36:20Z</dcterms:modified>
  <cp:revision>170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eyJoZGlkIjoiYzRhZmNmNzgzODA4NjZiNjJjOGJmZWQyMDc4Mzg0YjIiLCJ1c2VySWQiOiIxNzM0ODY1Mjg4In0=</vt:lpwstr>
  </property>
  <property fmtid="{D5CDD505-2E9C-101B-9397-08002B2CF9AE}" pid="3" name="KSOProductBuildVer">
    <vt:lpwstr>2052-12.1.0.25865</vt:lpwstr>
  </property>
  <property fmtid="{D5CDD505-2E9C-101B-9397-08002B2CF9AE}" pid="4" name="ICV">
    <vt:lpwstr>3904A96AE32A4A509FDBF3699B7F9CA2_12</vt:lpwstr>
  </property>
</Properties>
</file>