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CEFF0" w14:textId="77777777" w:rsidR="00787330" w:rsidRPr="00787330" w:rsidRDefault="00787330" w:rsidP="00787330">
      <w:pPr>
        <w:rPr>
          <w:rFonts w:hint="eastAsia"/>
          <w:b w:val="0"/>
          <w:bCs w:val="0"/>
        </w:rPr>
      </w:pPr>
      <w:r w:rsidRPr="00787330">
        <w:rPr>
          <w:rFonts w:hint="eastAsia"/>
          <w:b w:val="0"/>
          <w:bCs w:val="0"/>
        </w:rPr>
        <w:t>中车大创新体系建设指导意见为贯彻落实国务院国资委改革工作要求和集团发展战略，依据中车进一步深化科技体制改革实施方案，结合“双赛道双集群”科技创新和产业发展需求，聚焦创新资源显著集聚、创新体系显著完善、创新能力显著提升、创新效率显著提高、创新成果显著转化“五个显著”要求，制定本指导意见。一、总体要求（一）背景及现状新中车成立以来，构建了“开放、协同、一体化、全球布局、自主可控”“两纵两横一贯通”的科技创新体系，支撑了公司战略目标实现。轨道交通装备产业形成了从立项、研发、仿真试验到运用考核的产品研发体系；清洁能源装备产业依托轨道交通装备能力基础，形成了快速响应市场竞争的产品研发体系；基本形成“产品</w:t>
      </w:r>
      <w:r w:rsidRPr="00787330">
        <w:rPr>
          <w:rFonts w:hint="eastAsia"/>
          <w:b w:val="0"/>
          <w:bCs w:val="0"/>
        </w:rPr>
        <w:t>+</w:t>
      </w:r>
      <w:r w:rsidRPr="00787330">
        <w:rPr>
          <w:rFonts w:hint="eastAsia"/>
          <w:b w:val="0"/>
          <w:bCs w:val="0"/>
        </w:rPr>
        <w:t>”“系统</w:t>
      </w:r>
      <w:r w:rsidRPr="00787330">
        <w:rPr>
          <w:rFonts w:hint="eastAsia"/>
          <w:b w:val="0"/>
          <w:bCs w:val="0"/>
        </w:rPr>
        <w:t>+</w:t>
      </w:r>
      <w:r w:rsidRPr="00787330">
        <w:rPr>
          <w:rFonts w:hint="eastAsia"/>
          <w:b w:val="0"/>
          <w:bCs w:val="0"/>
        </w:rPr>
        <w:t>”科技支撑能力。当前新一轮科技革命和产业变革加速演变，数字化、智能化、绿色化浪潮驱动研发范式深刻变革，新能源、新材料、人工智能等新技术加速融合。面临发展新形势、新要求，需强化使命担当，进一步完善创新体系，勇担“三个责任”，发挥“三个作用”，争当“三个排头兵”，为建设世界一流中车提供强劲动力。大创新体系建设主要方向是，进一步优化内部和全球协同创新生态，聚集创新资源，健全创新机制，强健人才队伍，推</w:t>
      </w:r>
    </w:p>
    <w:p w14:paraId="1C9D9425" w14:textId="77777777" w:rsidR="00787330" w:rsidRPr="00787330" w:rsidRDefault="00787330" w:rsidP="00787330">
      <w:pPr>
        <w:rPr>
          <w:rFonts w:hint="eastAsia"/>
          <w:b w:val="0"/>
          <w:bCs w:val="0"/>
        </w:rPr>
      </w:pPr>
      <w:r w:rsidRPr="00787330">
        <w:rPr>
          <w:rFonts w:hint="eastAsia"/>
          <w:b w:val="0"/>
          <w:bCs w:val="0"/>
        </w:rPr>
        <w:t>动研发体系优化完善，提升研发效率和效益。主要是按照轨道交通装备全面领先、全链领跑，清洁能源装备全面先进、全链领先“四全目标”，借鉴集成产品开发先进理念，轨道交通装备产业重点完善全生命周期流程、成本和质量、绿色低碳、产业链安全韧性等管理要素和研发活动；清洁能源装备产业全面融合轨道交通装备研发优势，打造技术同源、产业共链、资源共享、体系融通的研发体系；“产品</w:t>
      </w:r>
      <w:r w:rsidRPr="00787330">
        <w:rPr>
          <w:rFonts w:hint="eastAsia"/>
          <w:b w:val="0"/>
          <w:bCs w:val="0"/>
        </w:rPr>
        <w:t>+</w:t>
      </w:r>
      <w:r w:rsidRPr="00787330">
        <w:rPr>
          <w:rFonts w:hint="eastAsia"/>
          <w:b w:val="0"/>
          <w:bCs w:val="0"/>
        </w:rPr>
        <w:t>”“系统</w:t>
      </w:r>
      <w:r w:rsidRPr="00787330">
        <w:rPr>
          <w:rFonts w:hint="eastAsia"/>
          <w:b w:val="0"/>
          <w:bCs w:val="0"/>
        </w:rPr>
        <w:t>+</w:t>
      </w:r>
      <w:r w:rsidRPr="00787330">
        <w:rPr>
          <w:rFonts w:hint="eastAsia"/>
          <w:b w:val="0"/>
          <w:bCs w:val="0"/>
        </w:rPr>
        <w:t>”业务重点完善规划与管理、系统解决方案的技术支撑能力。（二）指导思想以习近平新时代中国特色社会主义思想为指导，深入贯彻党的二十大和二十届二中、三中全会精神，落实国务院国资委和集团改革工作要求，聚焦技术集聚性、市场价值性、创新高效性、资源协同性、成果共享性，立足“五个显著”，统筹构建“开放、协同、新质、一体化、全球布局、自主可控”的“一鼎两环三支撑”大创新体系，为实现“四全目标”提供强劲动力，推动中车高质量发展。（三）基本原则坚持统一部署。落实进一步深化科技体制改革目标和重要举措，强化全链条部署，双赛道布局。坚持分步实施。制定分阶段的目标任务，以研发体系优化为先导，强化内部和全球协同生态建设，提升资源、人才、机制保障，逐步建成大创新体系。</w:t>
      </w:r>
    </w:p>
    <w:p w14:paraId="64490DA1" w14:textId="77777777" w:rsidR="00787330" w:rsidRPr="00787330" w:rsidRDefault="00787330" w:rsidP="00787330">
      <w:pPr>
        <w:rPr>
          <w:rFonts w:hint="eastAsia"/>
          <w:b w:val="0"/>
          <w:bCs w:val="0"/>
        </w:rPr>
      </w:pPr>
      <w:r w:rsidRPr="00787330">
        <w:rPr>
          <w:rFonts w:hint="eastAsia"/>
          <w:b w:val="0"/>
          <w:bCs w:val="0"/>
        </w:rPr>
        <w:t>坚持管理闭环。以“双赛道双集群”产业发展需求为导向正向研发，实现全链路跟踪与反馈闭环，形成持续改进机制。坚持量化评价。建立研发体系的评价指标与模型，推动创新体系效能评价与研发体系成熟度评价融合开展，以量化评价推动大创新体系持续优化。二、总体思路（一）大创新体系特征大创新体系以“一鼎两环三支撑”为核心架构。基于双赛道创新实践，借鉴集成产品研发模式，构建响应从产品需求到回收全要素、全流程、全链条管理，深度融入成本质量、绿色低碳、产业链韧性新发展要求，数智贯通赋能的先进研发体系。建设内外部协同创新生态，发挥资源、机制、人才保障作用。建成支撑双赛道双集群高质量发展的“开放、协同、新质、一体化、全球布局、自主可控”大创新体系。“一鼎”（中车科技创新鼎）：即中车研发体系，是大创新体</w:t>
      </w:r>
      <w:r w:rsidRPr="00787330">
        <w:rPr>
          <w:rFonts w:hint="eastAsia"/>
          <w:b w:val="0"/>
          <w:bCs w:val="0"/>
        </w:rPr>
        <w:lastRenderedPageBreak/>
        <w:t>系的核心和关键，主要是用投资的理念和方法管理产品研发，构建跨部门全链条协同团队，依托结构化阶段化流程实现全要素深度整合，通过平台化、模块化设计和分层研发模式最大化复用技术积累，实现资源高效配置，提升产品研发能力，打造可持续竞争力。其主要特征是：双赛道产业兼容。具备高度普适性与灵活性，既深度契合轨道交通装备产业，也完全适配清洁能源装备产业，支撑“产品</w:t>
      </w:r>
      <w:r w:rsidRPr="00787330">
        <w:rPr>
          <w:rFonts w:hint="eastAsia"/>
          <w:b w:val="0"/>
          <w:bCs w:val="0"/>
        </w:rPr>
        <w:t>+</w:t>
      </w:r>
      <w:r w:rsidRPr="00787330">
        <w:rPr>
          <w:rFonts w:hint="eastAsia"/>
          <w:b w:val="0"/>
          <w:bCs w:val="0"/>
        </w:rPr>
        <w:t>”“系统</w:t>
      </w:r>
      <w:r w:rsidRPr="00787330">
        <w:rPr>
          <w:rFonts w:hint="eastAsia"/>
          <w:b w:val="0"/>
          <w:bCs w:val="0"/>
        </w:rPr>
        <w:t>+</w:t>
      </w:r>
      <w:r w:rsidRPr="00787330">
        <w:rPr>
          <w:rFonts w:hint="eastAsia"/>
          <w:b w:val="0"/>
          <w:bCs w:val="0"/>
        </w:rPr>
        <w:t>”等新模式升级。多</w:t>
      </w:r>
    </w:p>
    <w:p w14:paraId="619CD08C" w14:textId="77777777" w:rsidR="00787330" w:rsidRPr="00787330" w:rsidRDefault="00787330" w:rsidP="00787330">
      <w:pPr>
        <w:rPr>
          <w:rFonts w:hint="eastAsia"/>
          <w:b w:val="0"/>
          <w:bCs w:val="0"/>
        </w:rPr>
      </w:pPr>
      <w:r w:rsidRPr="00787330">
        <w:rPr>
          <w:rFonts w:hint="eastAsia"/>
          <w:b w:val="0"/>
          <w:bCs w:val="0"/>
        </w:rPr>
        <w:t>维度体系融合。深度集成质量管理、构型管理、“碳</w:t>
      </w:r>
      <w:r w:rsidRPr="00787330">
        <w:rPr>
          <w:rFonts w:hint="eastAsia"/>
          <w:b w:val="0"/>
          <w:bCs w:val="0"/>
        </w:rPr>
        <w:t>+</w:t>
      </w:r>
      <w:r w:rsidRPr="00787330">
        <w:rPr>
          <w:rFonts w:hint="eastAsia"/>
          <w:b w:val="0"/>
          <w:bCs w:val="0"/>
        </w:rPr>
        <w:t>研发”等体系，实现协同高效。分层研发递进。突破传统单一产品开发范式，将研发活动分为技术研究、技术平台开发、产品平台开发及产品开发四大核心价值创造流程，强化技术积累与平台复用。全生命周期贯通。构建覆盖产品需求、规划、开发、试制、验证、服役、退役的完整流程，实现从概念到终结无缝衔接。穿透式精准管理。推动成本、质量、可靠性、碳排放等指标自顶向下分解，以指标为抓手，实施贯穿研发业务全级次、全链条、全过程、全要素的精细化、穿透式管理。数智化高效赋能。以数智化重塑流程架构，推动研发从“经验驱动”向“数据驱动”跃迁。“两环”：“内环”是指“两横一贯通”的内部协同机制，“外环”是指开放、新质、全球布局的创新生态。“三支撑”：即创新资源、机制保障和人才队伍。（二）建设目标强化内部和全球协同生态建设，提升资源、机制、人才保障，按照全维度需求覆盖、全流程闭环管理、全要素流程融入、全链条业务协同、全领域数据贯通“五全要求”，构建具有双赛道产业兼容、多维度体系融合、分层研发递进、全生命周期贯通、穿透式精准管理、数智化高效赋能特征的研发体系，全面建成“开放、协同、新质、一体化、全球布局、自主可控”大创新体系。</w:t>
      </w:r>
    </w:p>
    <w:p w14:paraId="57F97CC0" w14:textId="77777777" w:rsidR="00787330" w:rsidRPr="00787330" w:rsidRDefault="00787330" w:rsidP="00787330">
      <w:pPr>
        <w:rPr>
          <w:rFonts w:hint="eastAsia"/>
          <w:b w:val="0"/>
          <w:bCs w:val="0"/>
        </w:rPr>
      </w:pPr>
      <w:r w:rsidRPr="00787330">
        <w:rPr>
          <w:rFonts w:hint="eastAsia"/>
          <w:b w:val="0"/>
          <w:bCs w:val="0"/>
        </w:rPr>
        <w:t>2025</w:t>
      </w:r>
      <w:r w:rsidRPr="00787330">
        <w:rPr>
          <w:rFonts w:hint="eastAsia"/>
          <w:b w:val="0"/>
          <w:bCs w:val="0"/>
        </w:rPr>
        <w:t>年，研发体系框架基本优化完善。发布产品研发管理办法；发布研发数字化体系系列标准；形成技术及技术平台规划等</w:t>
      </w:r>
      <w:r w:rsidRPr="00787330">
        <w:rPr>
          <w:rFonts w:hint="eastAsia"/>
          <w:b w:val="0"/>
          <w:bCs w:val="0"/>
        </w:rPr>
        <w:t>17</w:t>
      </w:r>
      <w:r w:rsidRPr="00787330">
        <w:rPr>
          <w:rFonts w:hint="eastAsia"/>
          <w:b w:val="0"/>
          <w:bCs w:val="0"/>
        </w:rPr>
        <w:t>个研发流程组。</w:t>
      </w:r>
      <w:r w:rsidRPr="00787330">
        <w:rPr>
          <w:rFonts w:hint="eastAsia"/>
          <w:b w:val="0"/>
          <w:bCs w:val="0"/>
        </w:rPr>
        <w:t>2027</w:t>
      </w:r>
      <w:r w:rsidRPr="00787330">
        <w:rPr>
          <w:rFonts w:hint="eastAsia"/>
          <w:b w:val="0"/>
          <w:bCs w:val="0"/>
        </w:rPr>
        <w:t>年，大创新体系基本建成，内部协同机制进一步优化，全球协同创新生态更加完善。创新资源明显聚集，机制保障基本健全，人才队伍更加强健。轨道交通装备产业科技创新更具核心竞争力，清洁能源装备产业产品品质更具市场竞争力。主要制造类子公司实现研发体系流程全覆盖，主要研发指标穿透式管理。</w:t>
      </w:r>
      <w:r w:rsidRPr="00787330">
        <w:rPr>
          <w:rFonts w:hint="eastAsia"/>
          <w:b w:val="0"/>
          <w:bCs w:val="0"/>
        </w:rPr>
        <w:t>2030</w:t>
      </w:r>
      <w:r w:rsidRPr="00787330">
        <w:rPr>
          <w:rFonts w:hint="eastAsia"/>
          <w:b w:val="0"/>
          <w:bCs w:val="0"/>
        </w:rPr>
        <w:t>年，大创新体系全面建成，实现“五个显著”。研发流程要素更完整，新产品全面实现平台化开发，研发指标分层分级管理，需求、构型、成本、质量、碳排放等全面融合。三、建强“一鼎”持续建强“中车科技创新鼎”，保障研发方向精准对接市场与技术前沿，实现产业链上下游、跨专业多学科、设计工艺制造一体化协同，推进研发过程可控、质量可靠、持续改进，强化成本、质量、安全、可靠性、绿色低碳等核心要素贯穿研发全流程，提升研发数据深层次贯通、融合与价值挖掘能力。（一）明确研发体系架构与管理</w:t>
      </w:r>
      <w:r w:rsidRPr="00787330">
        <w:rPr>
          <w:rFonts w:hint="eastAsia"/>
          <w:b w:val="0"/>
          <w:bCs w:val="0"/>
        </w:rPr>
        <w:t>1.</w:t>
      </w:r>
      <w:r w:rsidRPr="00787330">
        <w:rPr>
          <w:rFonts w:hint="eastAsia"/>
          <w:b w:val="0"/>
          <w:bCs w:val="0"/>
        </w:rPr>
        <w:t>全维度需求架构与管理。推动需求管理贯穿全流程，构建全生命周期需求清单，使需求从“碎片化”变为“系统化”，实现全生命周期管理。多维度挖掘客户需求，运用多种分析工具</w:t>
      </w:r>
    </w:p>
    <w:p w14:paraId="1933AF30" w14:textId="77777777" w:rsidR="00787330" w:rsidRPr="00787330" w:rsidRDefault="00787330" w:rsidP="00787330">
      <w:pPr>
        <w:rPr>
          <w:rFonts w:hint="eastAsia"/>
          <w:b w:val="0"/>
          <w:bCs w:val="0"/>
        </w:rPr>
      </w:pPr>
      <w:r w:rsidRPr="00787330">
        <w:rPr>
          <w:rFonts w:hint="eastAsia"/>
          <w:b w:val="0"/>
          <w:bCs w:val="0"/>
        </w:rPr>
        <w:t>提高需求识别精准度。融合内外部需求，建立实时监测研判机制</w:t>
      </w:r>
      <w:r w:rsidRPr="00787330">
        <w:rPr>
          <w:rFonts w:hint="eastAsia"/>
          <w:b w:val="0"/>
          <w:bCs w:val="0"/>
        </w:rPr>
        <w:t>,</w:t>
      </w:r>
      <w:r w:rsidRPr="00787330">
        <w:rPr>
          <w:rFonts w:hint="eastAsia"/>
          <w:b w:val="0"/>
          <w:bCs w:val="0"/>
        </w:rPr>
        <w:t>强化需求响应与验证，形成闭环管理。</w:t>
      </w:r>
      <w:r w:rsidRPr="00787330">
        <w:rPr>
          <w:rFonts w:hint="eastAsia"/>
          <w:b w:val="0"/>
          <w:bCs w:val="0"/>
        </w:rPr>
        <w:t>2.</w:t>
      </w:r>
      <w:r w:rsidRPr="00787330">
        <w:rPr>
          <w:rFonts w:hint="eastAsia"/>
          <w:b w:val="0"/>
          <w:bCs w:val="0"/>
        </w:rPr>
        <w:t>全过程质量架构与管理。推动质量管理体系要求深度融入研发流程，针对轨道交通装备与清洁能源装备不同产业特点，强化产品研发的质量策划、质</w:t>
      </w:r>
      <w:r w:rsidRPr="00787330">
        <w:rPr>
          <w:rFonts w:hint="eastAsia"/>
          <w:b w:val="0"/>
          <w:bCs w:val="0"/>
        </w:rPr>
        <w:lastRenderedPageBreak/>
        <w:t>量控制、质量保证与质量改进，明确设计评审、</w:t>
      </w:r>
      <w:r w:rsidRPr="00787330">
        <w:rPr>
          <w:rFonts w:hint="eastAsia"/>
          <w:b w:val="0"/>
          <w:bCs w:val="0"/>
        </w:rPr>
        <w:t>FMEA</w:t>
      </w:r>
      <w:r w:rsidRPr="00787330">
        <w:rPr>
          <w:rFonts w:hint="eastAsia"/>
          <w:b w:val="0"/>
          <w:bCs w:val="0"/>
        </w:rPr>
        <w:t>、可靠性验证等执行标准与输出物，提升研发质量源头管理能力，增强产品可靠性与安全性。</w:t>
      </w:r>
      <w:r w:rsidRPr="00787330">
        <w:rPr>
          <w:rFonts w:hint="eastAsia"/>
          <w:b w:val="0"/>
          <w:bCs w:val="0"/>
        </w:rPr>
        <w:t>3.</w:t>
      </w:r>
      <w:r w:rsidRPr="00787330">
        <w:rPr>
          <w:rFonts w:hint="eastAsia"/>
          <w:b w:val="0"/>
          <w:bCs w:val="0"/>
        </w:rPr>
        <w:t>项目全过程管理。实施涵盖全过程、全要素项目管理，启动阶段精准定义项目目标与范围。执行阶段制定涵盖进度、成本、质量、资源、风险、沟通的详细计划，高效协调资源与团队，动态跟踪绩效，及时识别偏差实施变更控制。收尾阶段强化知识沉淀与闭环评估。</w:t>
      </w:r>
      <w:r w:rsidRPr="00787330">
        <w:rPr>
          <w:rFonts w:hint="eastAsia"/>
          <w:b w:val="0"/>
          <w:bCs w:val="0"/>
        </w:rPr>
        <w:t>4.</w:t>
      </w:r>
      <w:r w:rsidRPr="00787330">
        <w:rPr>
          <w:rFonts w:hint="eastAsia"/>
          <w:b w:val="0"/>
          <w:bCs w:val="0"/>
        </w:rPr>
        <w:t>精细化成本架构与管理。确定目标成本并逐层分解，强化涵盖方案设计、施工设计、工艺设计、物料选型等全流程动态跟踪，实施关键节点成本评审，结合研发成本数据库，建立研发</w:t>
      </w:r>
      <w:r w:rsidRPr="00787330">
        <w:rPr>
          <w:rFonts w:hint="eastAsia"/>
          <w:b w:val="0"/>
          <w:bCs w:val="0"/>
        </w:rPr>
        <w:t>-</w:t>
      </w:r>
      <w:r w:rsidRPr="00787330">
        <w:rPr>
          <w:rFonts w:hint="eastAsia"/>
          <w:b w:val="0"/>
          <w:bCs w:val="0"/>
        </w:rPr>
        <w:t>采购</w:t>
      </w:r>
      <w:r w:rsidRPr="00787330">
        <w:rPr>
          <w:rFonts w:hint="eastAsia"/>
          <w:b w:val="0"/>
          <w:bCs w:val="0"/>
        </w:rPr>
        <w:t>-</w:t>
      </w:r>
      <w:r w:rsidRPr="00787330">
        <w:rPr>
          <w:rFonts w:hint="eastAsia"/>
          <w:b w:val="0"/>
          <w:bCs w:val="0"/>
        </w:rPr>
        <w:t>制造</w:t>
      </w:r>
      <w:r w:rsidRPr="00787330">
        <w:rPr>
          <w:rFonts w:hint="eastAsia"/>
          <w:b w:val="0"/>
          <w:bCs w:val="0"/>
        </w:rPr>
        <w:t>-</w:t>
      </w:r>
      <w:r w:rsidRPr="00787330">
        <w:rPr>
          <w:rFonts w:hint="eastAsia"/>
          <w:b w:val="0"/>
          <w:bCs w:val="0"/>
        </w:rPr>
        <w:t>运维联动的成本分摊与核算机制，推动全链条降本增效，提升产品价格竞争力与盈利能力。</w:t>
      </w:r>
      <w:r w:rsidRPr="00787330">
        <w:rPr>
          <w:rFonts w:hint="eastAsia"/>
          <w:b w:val="0"/>
          <w:bCs w:val="0"/>
        </w:rPr>
        <w:t>5.</w:t>
      </w:r>
      <w:r w:rsidRPr="00787330">
        <w:rPr>
          <w:rFonts w:hint="eastAsia"/>
          <w:b w:val="0"/>
          <w:bCs w:val="0"/>
        </w:rPr>
        <w:t>全过程构型管理。面向产品全生命周期，以构型为主线，实现产品功能特性和物理特性与产品需求、技术状态信息保持一致，建立数据配置管理能力。涵盖构型管理计划、标识、控制、验证及审核等步骤，保障产品全生命周期数据管理规范有序。</w:t>
      </w:r>
    </w:p>
    <w:p w14:paraId="6ED48B51" w14:textId="77777777" w:rsidR="00787330" w:rsidRPr="00787330" w:rsidRDefault="00787330" w:rsidP="00787330">
      <w:pPr>
        <w:rPr>
          <w:rFonts w:hint="eastAsia"/>
          <w:b w:val="0"/>
          <w:bCs w:val="0"/>
        </w:rPr>
      </w:pPr>
      <w:r w:rsidRPr="00787330">
        <w:rPr>
          <w:rFonts w:hint="eastAsia"/>
          <w:b w:val="0"/>
          <w:bCs w:val="0"/>
        </w:rPr>
        <w:t>6.</w:t>
      </w:r>
      <w:r w:rsidRPr="00787330">
        <w:rPr>
          <w:rFonts w:hint="eastAsia"/>
          <w:b w:val="0"/>
          <w:bCs w:val="0"/>
        </w:rPr>
        <w:t>全流程碳管理。建立覆盖研发全流程的碳足迹核算与管理机制</w:t>
      </w:r>
      <w:r w:rsidRPr="00787330">
        <w:rPr>
          <w:rFonts w:hint="eastAsia"/>
          <w:b w:val="0"/>
          <w:bCs w:val="0"/>
        </w:rPr>
        <w:t>,</w:t>
      </w:r>
      <w:r w:rsidRPr="00787330">
        <w:rPr>
          <w:rFonts w:hint="eastAsia"/>
          <w:b w:val="0"/>
          <w:bCs w:val="0"/>
        </w:rPr>
        <w:t>推动产品研发各阶段开展碳数据核算、分析与优化。强化源头减排设计，推进低碳、零碳、负碳技术突破与应用。开展产品应用碳排放过程追踪，提升产品能耗数据采集能力，全面掌握产品多元能耗结构化数据，推动产品绿色低碳升级迭代。</w:t>
      </w:r>
      <w:r w:rsidRPr="00787330">
        <w:rPr>
          <w:rFonts w:hint="eastAsia"/>
          <w:b w:val="0"/>
          <w:bCs w:val="0"/>
        </w:rPr>
        <w:t>7.</w:t>
      </w:r>
      <w:r w:rsidRPr="00787330">
        <w:rPr>
          <w:rFonts w:hint="eastAsia"/>
          <w:b w:val="0"/>
          <w:bCs w:val="0"/>
        </w:rPr>
        <w:t>产业链架构与管理。以技术平台、产品平台为基础，聚焦共性技术与核心部件，构建以研发协同为核心的创新链产业链。打通数据链，推动全链条模块化、标准化设计，促进技术复用。建立供应链风险评估机制，形成“联合研发</w:t>
      </w:r>
      <w:r w:rsidRPr="00787330">
        <w:rPr>
          <w:rFonts w:hint="eastAsia"/>
          <w:b w:val="0"/>
          <w:bCs w:val="0"/>
        </w:rPr>
        <w:t>-</w:t>
      </w:r>
      <w:r w:rsidRPr="00787330">
        <w:rPr>
          <w:rFonts w:hint="eastAsia"/>
          <w:b w:val="0"/>
          <w:bCs w:val="0"/>
        </w:rPr>
        <w:t>技术共享</w:t>
      </w:r>
      <w:r w:rsidRPr="00787330">
        <w:rPr>
          <w:rFonts w:hint="eastAsia"/>
          <w:b w:val="0"/>
          <w:bCs w:val="0"/>
        </w:rPr>
        <w:t>-</w:t>
      </w:r>
      <w:r w:rsidRPr="00787330">
        <w:rPr>
          <w:rFonts w:hint="eastAsia"/>
          <w:b w:val="0"/>
          <w:bCs w:val="0"/>
        </w:rPr>
        <w:t>风险共防”的产业链生态，提升产业链韧性安全。（二）推动研发体系标准贯标</w:t>
      </w:r>
      <w:r w:rsidRPr="00787330">
        <w:rPr>
          <w:rFonts w:hint="eastAsia"/>
          <w:b w:val="0"/>
          <w:bCs w:val="0"/>
        </w:rPr>
        <w:t>8.</w:t>
      </w:r>
      <w:r w:rsidRPr="00787330">
        <w:rPr>
          <w:rFonts w:hint="eastAsia"/>
          <w:b w:val="0"/>
          <w:bCs w:val="0"/>
        </w:rPr>
        <w:t>制定研发数字化流程规范。聚焦共性技术工程化与标准化，推进技术研究、技术平台开发、产品平台开发、产品开发的分层流程架构搭建，实现产品谱系化与组件模块化、集约化、标准化。按照集团统一</w:t>
      </w:r>
      <w:r w:rsidRPr="00787330">
        <w:rPr>
          <w:rFonts w:hint="eastAsia"/>
          <w:b w:val="0"/>
          <w:bCs w:val="0"/>
        </w:rPr>
        <w:t>L1</w:t>
      </w:r>
      <w:r w:rsidRPr="00787330">
        <w:rPr>
          <w:rFonts w:hint="eastAsia"/>
          <w:b w:val="0"/>
          <w:bCs w:val="0"/>
        </w:rPr>
        <w:t>流程分类、</w:t>
      </w:r>
      <w:r w:rsidRPr="00787330">
        <w:rPr>
          <w:rFonts w:hint="eastAsia"/>
          <w:b w:val="0"/>
          <w:bCs w:val="0"/>
        </w:rPr>
        <w:t>L2</w:t>
      </w:r>
      <w:r w:rsidRPr="00787330">
        <w:rPr>
          <w:rFonts w:hint="eastAsia"/>
          <w:b w:val="0"/>
          <w:bCs w:val="0"/>
        </w:rPr>
        <w:t>流程组、</w:t>
      </w:r>
      <w:r w:rsidRPr="00787330">
        <w:rPr>
          <w:rFonts w:hint="eastAsia"/>
          <w:b w:val="0"/>
          <w:bCs w:val="0"/>
        </w:rPr>
        <w:t>L3</w:t>
      </w:r>
      <w:r w:rsidRPr="00787330">
        <w:rPr>
          <w:rFonts w:hint="eastAsia"/>
          <w:b w:val="0"/>
          <w:bCs w:val="0"/>
        </w:rPr>
        <w:t>流程，子公司制定</w:t>
      </w:r>
      <w:r w:rsidRPr="00787330">
        <w:rPr>
          <w:rFonts w:hint="eastAsia"/>
          <w:b w:val="0"/>
          <w:bCs w:val="0"/>
        </w:rPr>
        <w:t>L4</w:t>
      </w:r>
      <w:r w:rsidRPr="00787330">
        <w:rPr>
          <w:rFonts w:hint="eastAsia"/>
          <w:b w:val="0"/>
          <w:bCs w:val="0"/>
        </w:rPr>
        <w:t>子流程、</w:t>
      </w:r>
      <w:r w:rsidRPr="00787330">
        <w:rPr>
          <w:rFonts w:hint="eastAsia"/>
          <w:b w:val="0"/>
          <w:bCs w:val="0"/>
        </w:rPr>
        <w:t>L5</w:t>
      </w:r>
      <w:r w:rsidRPr="00787330">
        <w:rPr>
          <w:rFonts w:hint="eastAsia"/>
          <w:b w:val="0"/>
          <w:bCs w:val="0"/>
        </w:rPr>
        <w:t>活动、</w:t>
      </w:r>
      <w:r w:rsidRPr="00787330">
        <w:rPr>
          <w:rFonts w:hint="eastAsia"/>
          <w:b w:val="0"/>
          <w:bCs w:val="0"/>
        </w:rPr>
        <w:t>L6</w:t>
      </w:r>
      <w:r w:rsidRPr="00787330">
        <w:rPr>
          <w:rFonts w:hint="eastAsia"/>
          <w:b w:val="0"/>
          <w:bCs w:val="0"/>
        </w:rPr>
        <w:t>表单的要求，推进分级流程架构搭建，实现研发业务流程架构重塑。</w:t>
      </w:r>
      <w:r w:rsidRPr="00787330">
        <w:rPr>
          <w:rFonts w:hint="eastAsia"/>
          <w:b w:val="0"/>
          <w:bCs w:val="0"/>
        </w:rPr>
        <w:t>9.</w:t>
      </w:r>
      <w:r w:rsidRPr="00787330">
        <w:rPr>
          <w:rFonts w:hint="eastAsia"/>
          <w:b w:val="0"/>
          <w:bCs w:val="0"/>
        </w:rPr>
        <w:t>制定数据架构设计规范。明确研发数据架构设计总体要求和设计方法。规范数据资源目录，确定研发数据的主题域和分组。规范数据标准，统一语言，满足业务管理、信息系统、数据分析应用需要。规范数据模型，可视化展现数据组织及运</w:t>
      </w:r>
    </w:p>
    <w:p w14:paraId="6AF19C2F" w14:textId="77777777" w:rsidR="00787330" w:rsidRPr="00787330" w:rsidRDefault="00787330" w:rsidP="00787330">
      <w:pPr>
        <w:rPr>
          <w:rFonts w:hint="eastAsia"/>
          <w:b w:val="0"/>
          <w:bCs w:val="0"/>
        </w:rPr>
      </w:pPr>
      <w:r w:rsidRPr="00787330">
        <w:rPr>
          <w:rFonts w:hint="eastAsia"/>
          <w:b w:val="0"/>
          <w:bCs w:val="0"/>
        </w:rPr>
        <w:t>行关系，指导</w:t>
      </w:r>
      <w:r w:rsidRPr="00787330">
        <w:rPr>
          <w:rFonts w:hint="eastAsia"/>
          <w:b w:val="0"/>
          <w:bCs w:val="0"/>
        </w:rPr>
        <w:t>IT</w:t>
      </w:r>
      <w:r w:rsidRPr="00787330">
        <w:rPr>
          <w:rFonts w:hint="eastAsia"/>
          <w:b w:val="0"/>
          <w:bCs w:val="0"/>
        </w:rPr>
        <w:t>系统开发。规范数据分布，确定研发信息链、数据流，明确研发数据分布关系和流转方向。</w:t>
      </w:r>
      <w:r w:rsidRPr="00787330">
        <w:rPr>
          <w:rFonts w:hint="eastAsia"/>
          <w:b w:val="0"/>
          <w:bCs w:val="0"/>
        </w:rPr>
        <w:t>10.</w:t>
      </w:r>
      <w:r w:rsidRPr="00787330">
        <w:rPr>
          <w:rFonts w:hint="eastAsia"/>
          <w:b w:val="0"/>
          <w:bCs w:val="0"/>
        </w:rPr>
        <w:t>制定研发平台架构规范。基于统一业务流程和数据架构，系统规划平台功能模块，建立高效数据交互机制，形成集团级研发平台架构设计规范，为子公司平台建设提供标准化指导，实现研发平台架构标准体系的系统性。（三）建设研发体系应用平台</w:t>
      </w:r>
      <w:r w:rsidRPr="00787330">
        <w:rPr>
          <w:rFonts w:hint="eastAsia"/>
          <w:b w:val="0"/>
          <w:bCs w:val="0"/>
        </w:rPr>
        <w:t>11.</w:t>
      </w:r>
      <w:r w:rsidRPr="00787330">
        <w:rPr>
          <w:rFonts w:hint="eastAsia"/>
          <w:b w:val="0"/>
          <w:bCs w:val="0"/>
        </w:rPr>
        <w:t>推动科技管理平台数智化升级。重构科技创新业务流程，统一科技需求、科技规划、科技项目、科技成果、科技评价和科技资源管理</w:t>
      </w:r>
      <w:r w:rsidRPr="00787330">
        <w:rPr>
          <w:rFonts w:hint="eastAsia"/>
          <w:b w:val="0"/>
          <w:bCs w:val="0"/>
        </w:rPr>
        <w:t>6</w:t>
      </w:r>
      <w:r w:rsidRPr="00787330">
        <w:rPr>
          <w:rFonts w:hint="eastAsia"/>
          <w:b w:val="0"/>
          <w:bCs w:val="0"/>
        </w:rPr>
        <w:t>大业务流程组，嵌入智能算法，打造科技创新管理驾驶舱，实现科技管理业务全流程、全要素、全链条数据可视化管理、智能分析与动态预警。</w:t>
      </w:r>
      <w:r w:rsidRPr="00787330">
        <w:rPr>
          <w:rFonts w:hint="eastAsia"/>
          <w:b w:val="0"/>
          <w:bCs w:val="0"/>
        </w:rPr>
        <w:t>12.</w:t>
      </w:r>
      <w:r w:rsidRPr="00787330">
        <w:rPr>
          <w:rFonts w:hint="eastAsia"/>
          <w:b w:val="0"/>
          <w:bCs w:val="0"/>
        </w:rPr>
        <w:t>建设研发数智化工作平台。制造类子公司根据研发平台架构规范，完善或建设研发数智化工作平台，形成基于系统工程的正向研发能力、基于人工智能的产品创新能力、基于智能关联的知识沉淀能力。打</w:t>
      </w:r>
      <w:r w:rsidRPr="00787330">
        <w:rPr>
          <w:rFonts w:hint="eastAsia"/>
          <w:b w:val="0"/>
          <w:bCs w:val="0"/>
        </w:rPr>
        <w:lastRenderedPageBreak/>
        <w:t>造基于云平台的协同研发能力，推动需求、设计、生产、供应等环节实时共享，实现产业链协同研发。推动机械、电气、软件等专业高效协作，实现跨专业协同研发。推动基于</w:t>
      </w:r>
      <w:r w:rsidRPr="00787330">
        <w:rPr>
          <w:rFonts w:hint="eastAsia"/>
          <w:b w:val="0"/>
          <w:bCs w:val="0"/>
        </w:rPr>
        <w:t>MBD</w:t>
      </w:r>
      <w:r w:rsidRPr="00787330">
        <w:rPr>
          <w:rFonts w:hint="eastAsia"/>
          <w:b w:val="0"/>
          <w:bCs w:val="0"/>
        </w:rPr>
        <w:t>技术的工程化应用，实现设计工艺制造协同。（四）建立指标体系开展成熟度评价</w:t>
      </w:r>
    </w:p>
    <w:p w14:paraId="5201975B" w14:textId="77777777" w:rsidR="00787330" w:rsidRPr="00787330" w:rsidRDefault="00787330" w:rsidP="00787330">
      <w:pPr>
        <w:rPr>
          <w:rFonts w:hint="eastAsia"/>
          <w:b w:val="0"/>
          <w:bCs w:val="0"/>
        </w:rPr>
      </w:pPr>
      <w:r w:rsidRPr="00787330">
        <w:rPr>
          <w:rFonts w:hint="eastAsia"/>
          <w:b w:val="0"/>
          <w:bCs w:val="0"/>
        </w:rPr>
        <w:t>13.</w:t>
      </w:r>
      <w:r w:rsidRPr="00787330">
        <w:rPr>
          <w:rFonts w:hint="eastAsia"/>
          <w:b w:val="0"/>
          <w:bCs w:val="0"/>
        </w:rPr>
        <w:t>构建研发管理指标体系。统一指标定义、算法、数据标准等要素，以统一量化指标反映研发状况和水平。打造集团</w:t>
      </w:r>
      <w:r w:rsidRPr="00787330">
        <w:rPr>
          <w:rFonts w:hint="eastAsia"/>
          <w:b w:val="0"/>
          <w:bCs w:val="0"/>
        </w:rPr>
        <w:t>-</w:t>
      </w:r>
      <w:r w:rsidRPr="00787330">
        <w:rPr>
          <w:rFonts w:hint="eastAsia"/>
          <w:b w:val="0"/>
          <w:bCs w:val="0"/>
        </w:rPr>
        <w:t>子公司</w:t>
      </w:r>
      <w:r w:rsidRPr="00787330">
        <w:rPr>
          <w:rFonts w:hint="eastAsia"/>
          <w:b w:val="0"/>
          <w:bCs w:val="0"/>
        </w:rPr>
        <w:t>-</w:t>
      </w:r>
      <w:r w:rsidRPr="00787330">
        <w:rPr>
          <w:rFonts w:hint="eastAsia"/>
          <w:b w:val="0"/>
          <w:bCs w:val="0"/>
        </w:rPr>
        <w:t>项目三级联动管理机制，应用数字化工具实现指标牵引“穿透式”管理。构建研发效能评估模型、技术成熟度分析矩阵及风险预警机制，保障研发方向与公司战略高度匹配。</w:t>
      </w:r>
      <w:r w:rsidRPr="00787330">
        <w:rPr>
          <w:rFonts w:hint="eastAsia"/>
          <w:b w:val="0"/>
          <w:bCs w:val="0"/>
        </w:rPr>
        <w:t>14.</w:t>
      </w:r>
      <w:r w:rsidRPr="00787330">
        <w:rPr>
          <w:rFonts w:hint="eastAsia"/>
          <w:b w:val="0"/>
          <w:bCs w:val="0"/>
        </w:rPr>
        <w:t>构建成熟度评价机制。基于“五全要求”和研发数字化成熟度评价规范，构建涵盖流程、数据、平台、指标体系的评价模型，形成评价机制，定期开展研发体系成熟度评价，识别改进点，制定优化策略，推动持续优化。四、健全“两环”“三支撑”持续优化“两横一贯通”的内部创新机制和开放、新质、全球布局的协同创新生态。强化资源配置，完善机制保障，建强人才队伍，推动科技创新治理体系和能力现代化。</w:t>
      </w:r>
      <w:r w:rsidRPr="00787330">
        <w:rPr>
          <w:rFonts w:hint="eastAsia"/>
          <w:b w:val="0"/>
          <w:bCs w:val="0"/>
        </w:rPr>
        <w:t>15.</w:t>
      </w:r>
      <w:r w:rsidRPr="00787330">
        <w:rPr>
          <w:rFonts w:hint="eastAsia"/>
          <w:b w:val="0"/>
          <w:bCs w:val="0"/>
        </w:rPr>
        <w:t>完善内部协同机制。持续强化协同创新，推动轨道交通装备和清洁能源装备双赛道互促，构建科技平台公司常态化沟通机制，持续开展自顶向下科研立项部署，深化产业链上下游、大中小企业协同创新。构建技术市场化交易机制，加快推进技术转移管理办法落地实施，规范科技成果及权利转移活动。探索技术经理人培养、评价和激励，做好科技成果的培育、孵化、推广等工作。建立技术市场化交易制度，为按知分配奠定基础。优化创新效能评价，持续优化评价指标，升级数据采集信息化手段，试点运用技术报表与技术就绪度等新型工</w:t>
      </w:r>
    </w:p>
    <w:p w14:paraId="221867A2" w14:textId="77777777" w:rsidR="00787330" w:rsidRPr="00787330" w:rsidRDefault="00787330" w:rsidP="00787330">
      <w:pPr>
        <w:rPr>
          <w:rFonts w:hint="eastAsia"/>
          <w:b w:val="0"/>
          <w:bCs w:val="0"/>
        </w:rPr>
      </w:pPr>
      <w:r w:rsidRPr="00787330">
        <w:rPr>
          <w:rFonts w:hint="eastAsia"/>
          <w:b w:val="0"/>
          <w:bCs w:val="0"/>
        </w:rPr>
        <w:t>具方法，深化评价结果应用，打造央企创新效能评价标杆。</w:t>
      </w:r>
      <w:r w:rsidRPr="00787330">
        <w:rPr>
          <w:rFonts w:hint="eastAsia"/>
          <w:b w:val="0"/>
          <w:bCs w:val="0"/>
        </w:rPr>
        <w:t>16.</w:t>
      </w:r>
      <w:r w:rsidRPr="00787330">
        <w:rPr>
          <w:rFonts w:hint="eastAsia"/>
          <w:b w:val="0"/>
          <w:bCs w:val="0"/>
        </w:rPr>
        <w:t>优化全球创新生态。推动高水平科技合作，主动融入国家创新体系，推动与地方政府、重点客户、一流高校“总对总”科技合作。发挥海外研发中心作用，更好融入全球创新网络，推动高水平对外科技合作。构建开放式创新生态，坚持自主创新、开放创新、融通创新，推动创新链、产业链、资金链、人才链深度融合，形成自立自强、开放协同良好生态。提升科技成果影响力，强化专利保护与价值创造，优先开展海外专利布局，提升高价值专利占比。提升技术标准话语权和影响力，加强新技术新产品国际、国内标准布局，积极推动中国标准、技术、规则走出去。</w:t>
      </w:r>
      <w:r w:rsidRPr="00787330">
        <w:rPr>
          <w:rFonts w:hint="eastAsia"/>
          <w:b w:val="0"/>
          <w:bCs w:val="0"/>
        </w:rPr>
        <w:t>17.</w:t>
      </w:r>
      <w:r w:rsidRPr="00787330">
        <w:rPr>
          <w:rFonts w:hint="eastAsia"/>
          <w:b w:val="0"/>
          <w:bCs w:val="0"/>
        </w:rPr>
        <w:t>推动创新资源聚集。更好发挥科技平台公司作用，统筹创新互联网平台、协同研发平台、资源共享能力平台等公共服务平台建设，强化支撑服务能力。加快产业创新资源协同利用，协同重点用户开展自主化产品攻关，加快装车考核及运用。用好国家首（台）套、首批次、首版次“三首”政策，积极开放新技术、新产品应用场景。持续深化科研立项改革，统筹开展科技信息收集、整理、分析与共享，建立常态化技术预测机制。加强自顶向下的重大科研项目部署，加大战新产业、未来产业科研立项支持。优化推广协同创新团队等科研项目组织模式。</w:t>
      </w:r>
      <w:r w:rsidRPr="00787330">
        <w:rPr>
          <w:rFonts w:hint="eastAsia"/>
          <w:b w:val="0"/>
          <w:bCs w:val="0"/>
        </w:rPr>
        <w:t>18.</w:t>
      </w:r>
      <w:r w:rsidRPr="00787330">
        <w:rPr>
          <w:rFonts w:hint="eastAsia"/>
          <w:b w:val="0"/>
          <w:bCs w:val="0"/>
        </w:rPr>
        <w:t>健全创新制度安排。依据国家行业相关政策，完善激励</w:t>
      </w:r>
    </w:p>
    <w:p w14:paraId="1D4C8912" w14:textId="77777777" w:rsidR="00787330" w:rsidRPr="00787330" w:rsidRDefault="00787330" w:rsidP="00787330">
      <w:pPr>
        <w:rPr>
          <w:rFonts w:hint="eastAsia"/>
          <w:b w:val="0"/>
          <w:bCs w:val="0"/>
        </w:rPr>
      </w:pPr>
      <w:r w:rsidRPr="00787330">
        <w:rPr>
          <w:rFonts w:hint="eastAsia"/>
          <w:b w:val="0"/>
          <w:bCs w:val="0"/>
        </w:rPr>
        <w:t>机制，推动原创技术研究、重大专项费用视同利润加回等激励机制能用尽用。完善鼓励原始创新的制度安排，提高基础研究和前沿颠覆技术投入比重，催生更多“从</w:t>
      </w:r>
      <w:r w:rsidRPr="00787330">
        <w:rPr>
          <w:rFonts w:hint="eastAsia"/>
          <w:b w:val="0"/>
          <w:bCs w:val="0"/>
        </w:rPr>
        <w:t>0</w:t>
      </w:r>
      <w:r w:rsidRPr="00787330">
        <w:rPr>
          <w:rFonts w:hint="eastAsia"/>
          <w:b w:val="0"/>
          <w:bCs w:val="0"/>
        </w:rPr>
        <w:t>到</w:t>
      </w:r>
      <w:r w:rsidRPr="00787330">
        <w:rPr>
          <w:rFonts w:hint="eastAsia"/>
          <w:b w:val="0"/>
          <w:bCs w:val="0"/>
        </w:rPr>
        <w:t>1</w:t>
      </w:r>
      <w:r w:rsidRPr="00787330">
        <w:rPr>
          <w:rFonts w:hint="eastAsia"/>
          <w:b w:val="0"/>
          <w:bCs w:val="0"/>
        </w:rPr>
        <w:t>”的原创技术成果。加强科研经费管理，完善科研项目费用预算及管理制度，实现全级</w:t>
      </w:r>
      <w:r w:rsidRPr="00787330">
        <w:rPr>
          <w:rFonts w:hint="eastAsia"/>
          <w:b w:val="0"/>
          <w:bCs w:val="0"/>
        </w:rPr>
        <w:lastRenderedPageBreak/>
        <w:t>次穿透式管理。探索按照重大科研项目关键节点“里程碑”式管理、节点目标考核、分批次拨付项目经费。营造更好创新氛围，推动尽职免责管理办法落地实施，强化科研诚信行为管理，形成鼓励创新、宽容失败的创新文化。</w:t>
      </w:r>
      <w:r w:rsidRPr="00787330">
        <w:rPr>
          <w:rFonts w:hint="eastAsia"/>
          <w:b w:val="0"/>
          <w:bCs w:val="0"/>
        </w:rPr>
        <w:t>19.</w:t>
      </w:r>
      <w:r w:rsidRPr="00787330">
        <w:rPr>
          <w:rFonts w:hint="eastAsia"/>
          <w:b w:val="0"/>
          <w:bCs w:val="0"/>
        </w:rPr>
        <w:t>建强科技人才队伍。完善人才引培机制，深化“</w:t>
      </w:r>
      <w:r w:rsidRPr="00787330">
        <w:rPr>
          <w:rFonts w:hint="eastAsia"/>
          <w:b w:val="0"/>
          <w:bCs w:val="0"/>
        </w:rPr>
        <w:t>1+4+N</w:t>
      </w:r>
      <w:r w:rsidRPr="00787330">
        <w:rPr>
          <w:rFonts w:hint="eastAsia"/>
          <w:b w:val="0"/>
          <w:bCs w:val="0"/>
        </w:rPr>
        <w:t>”人才高地建设，更好发挥人才集聚平台作用。加快人工智能、战新产业、数智产业、“产品</w:t>
      </w:r>
      <w:r w:rsidRPr="00787330">
        <w:rPr>
          <w:rFonts w:hint="eastAsia"/>
          <w:b w:val="0"/>
          <w:bCs w:val="0"/>
        </w:rPr>
        <w:t>+</w:t>
      </w:r>
      <w:r w:rsidRPr="00787330">
        <w:rPr>
          <w:rFonts w:hint="eastAsia"/>
          <w:b w:val="0"/>
          <w:bCs w:val="0"/>
        </w:rPr>
        <w:t>”“系统</w:t>
      </w:r>
      <w:r w:rsidRPr="00787330">
        <w:rPr>
          <w:rFonts w:hint="eastAsia"/>
          <w:b w:val="0"/>
          <w:bCs w:val="0"/>
        </w:rPr>
        <w:t>+</w:t>
      </w:r>
      <w:r w:rsidRPr="00787330">
        <w:rPr>
          <w:rFonts w:hint="eastAsia"/>
          <w:b w:val="0"/>
          <w:bCs w:val="0"/>
        </w:rPr>
        <w:t>”“</w:t>
      </w:r>
      <w:r w:rsidRPr="00787330">
        <w:rPr>
          <w:rFonts w:hint="eastAsia"/>
          <w:b w:val="0"/>
          <w:bCs w:val="0"/>
        </w:rPr>
        <w:t>DLS</w:t>
      </w:r>
      <w:r w:rsidRPr="00787330">
        <w:rPr>
          <w:rFonts w:hint="eastAsia"/>
          <w:b w:val="0"/>
          <w:bCs w:val="0"/>
        </w:rPr>
        <w:t>”等专项人才培育。推动管理办法实施落地，培育更多核心科技领军人才。以“项目</w:t>
      </w:r>
      <w:r w:rsidRPr="00787330">
        <w:rPr>
          <w:rFonts w:hint="eastAsia"/>
          <w:b w:val="0"/>
          <w:bCs w:val="0"/>
        </w:rPr>
        <w:t>+</w:t>
      </w:r>
      <w:r w:rsidRPr="00787330">
        <w:rPr>
          <w:rFonts w:hint="eastAsia"/>
          <w:b w:val="0"/>
          <w:bCs w:val="0"/>
        </w:rPr>
        <w:t>人才”方式为青年科技人员提供更好发展平台，鼓励优秀青年科技人才主持或参与重大科研项目。探索实施多维度激励，贯彻落实国家行业政策，完善公司相关制度，打好股权激励、补偿激励、项目收益分红等激励政策组合拳，激发创新活力动力。五、保障措施在集团党委统一领导下，科信部贯彻落实集团深化改革工作部署，加强与总部各部门协同，定期开展制度标准宣贯解读和督导检查评价，及时协调解决困难问题。各子公司切实扛起主体责任，把大创新体系建设作为进一步深化科技体制改革的</w:t>
      </w:r>
    </w:p>
    <w:p w14:paraId="1C333B80" w14:textId="77777777" w:rsidR="00787330" w:rsidRPr="00787330" w:rsidRDefault="00787330" w:rsidP="00787330">
      <w:pPr>
        <w:rPr>
          <w:rFonts w:hint="eastAsia"/>
          <w:b w:val="0"/>
          <w:bCs w:val="0"/>
        </w:rPr>
      </w:pPr>
      <w:r w:rsidRPr="00787330">
        <w:rPr>
          <w:rFonts w:hint="eastAsia"/>
          <w:b w:val="0"/>
          <w:bCs w:val="0"/>
        </w:rPr>
        <w:t>核心任务，健全组织推进机制，制定工作计划，细化落实措施，强化实践探索，保障本意见各项任务要求穿透落地。</w:t>
      </w:r>
    </w:p>
    <w:p w14:paraId="747E6DAC" w14:textId="77777777" w:rsidR="00787330" w:rsidRPr="00787330" w:rsidRDefault="00787330" w:rsidP="00787330">
      <w:pPr>
        <w:rPr>
          <w:rFonts w:hint="eastAsia"/>
          <w:b w:val="0"/>
          <w:bCs w:val="0"/>
        </w:rPr>
      </w:pPr>
      <w:r w:rsidRPr="00787330">
        <w:rPr>
          <w:rFonts w:hint="eastAsia"/>
          <w:b w:val="0"/>
          <w:bCs w:val="0"/>
        </w:rPr>
        <w:t>附图</w:t>
      </w:r>
      <w:r w:rsidRPr="00787330">
        <w:rPr>
          <w:rFonts w:hint="eastAsia"/>
          <w:b w:val="0"/>
          <w:bCs w:val="0"/>
        </w:rPr>
        <w:t>1</w:t>
      </w:r>
      <w:r w:rsidRPr="00787330">
        <w:rPr>
          <w:rFonts w:hint="eastAsia"/>
          <w:b w:val="0"/>
          <w:bCs w:val="0"/>
        </w:rPr>
        <w:t>中车大创新体系架构图说明：</w:t>
      </w:r>
      <w:r w:rsidRPr="00787330">
        <w:rPr>
          <w:rFonts w:hint="eastAsia"/>
          <w:b w:val="0"/>
          <w:bCs w:val="0"/>
        </w:rPr>
        <w:t>1.</w:t>
      </w:r>
      <w:r w:rsidRPr="00787330">
        <w:rPr>
          <w:rFonts w:hint="eastAsia"/>
          <w:b w:val="0"/>
          <w:bCs w:val="0"/>
        </w:rPr>
        <w:t>“一鼎”：指中车研发体系。鼎</w:t>
      </w:r>
      <w:r w:rsidRPr="00787330">
        <w:rPr>
          <w:rFonts w:hint="eastAsia"/>
          <w:b w:val="0"/>
          <w:bCs w:val="0"/>
        </w:rPr>
        <w:t>,</w:t>
      </w:r>
      <w:r w:rsidRPr="00787330">
        <w:rPr>
          <w:rFonts w:hint="eastAsia"/>
          <w:b w:val="0"/>
          <w:bCs w:val="0"/>
        </w:rPr>
        <w:t>寓意着稳定与根基、完整与规范、贯通与连接。</w:t>
      </w:r>
      <w:r w:rsidRPr="00787330">
        <w:rPr>
          <w:rFonts w:hint="eastAsia"/>
          <w:b w:val="0"/>
          <w:bCs w:val="0"/>
        </w:rPr>
        <w:t>2.</w:t>
      </w:r>
      <w:r w:rsidRPr="00787330">
        <w:rPr>
          <w:rFonts w:hint="eastAsia"/>
          <w:b w:val="0"/>
          <w:bCs w:val="0"/>
        </w:rPr>
        <w:t>“两环”：“内环”指“两横一贯通”的内部协同机制，“外环”指开放、新质、全球布局的创新生态。</w:t>
      </w:r>
      <w:r w:rsidRPr="00787330">
        <w:rPr>
          <w:rFonts w:hint="eastAsia"/>
          <w:b w:val="0"/>
          <w:bCs w:val="0"/>
        </w:rPr>
        <w:t>3.</w:t>
      </w:r>
      <w:r w:rsidRPr="00787330">
        <w:rPr>
          <w:rFonts w:hint="eastAsia"/>
          <w:b w:val="0"/>
          <w:bCs w:val="0"/>
        </w:rPr>
        <w:t>“三支撑”：指创新资源、机制保障、人才队伍。</w:t>
      </w:r>
    </w:p>
    <w:p w14:paraId="314246F6" w14:textId="77777777" w:rsidR="00787330" w:rsidRPr="00787330" w:rsidRDefault="00787330" w:rsidP="00787330">
      <w:pPr>
        <w:rPr>
          <w:rFonts w:hint="eastAsia"/>
          <w:b w:val="0"/>
          <w:bCs w:val="0"/>
        </w:rPr>
      </w:pPr>
      <w:r w:rsidRPr="00787330">
        <w:rPr>
          <w:rFonts w:hint="eastAsia"/>
          <w:b w:val="0"/>
          <w:bCs w:val="0"/>
        </w:rPr>
        <w:t>附图</w:t>
      </w:r>
      <w:r w:rsidRPr="00787330">
        <w:rPr>
          <w:rFonts w:hint="eastAsia"/>
          <w:b w:val="0"/>
          <w:bCs w:val="0"/>
        </w:rPr>
        <w:t>2</w:t>
      </w:r>
      <w:r w:rsidRPr="00787330">
        <w:rPr>
          <w:rFonts w:hint="eastAsia"/>
          <w:b w:val="0"/>
          <w:bCs w:val="0"/>
        </w:rPr>
        <w:t>产品研发管理全景图说明：明确产品研发管理核心理念和总体要求，将需求、质量、项目、成本、构型、碳等核心要素的管理要求与评价指标深度融入研发流程各阶段。</w:t>
      </w:r>
    </w:p>
    <w:p w14:paraId="56A91F5C" w14:textId="77777777" w:rsidR="00787330" w:rsidRPr="00787330" w:rsidRDefault="00787330" w:rsidP="00787330">
      <w:pPr>
        <w:rPr>
          <w:rFonts w:hint="eastAsia"/>
          <w:b w:val="0"/>
          <w:bCs w:val="0"/>
        </w:rPr>
      </w:pPr>
      <w:r w:rsidRPr="00787330">
        <w:rPr>
          <w:rFonts w:hint="eastAsia"/>
          <w:b w:val="0"/>
          <w:bCs w:val="0"/>
        </w:rPr>
        <w:t>附图</w:t>
      </w:r>
      <w:r w:rsidRPr="00787330">
        <w:rPr>
          <w:rFonts w:hint="eastAsia"/>
          <w:b w:val="0"/>
          <w:bCs w:val="0"/>
        </w:rPr>
        <w:t>3</w:t>
      </w:r>
      <w:r w:rsidRPr="00787330">
        <w:rPr>
          <w:rFonts w:hint="eastAsia"/>
          <w:b w:val="0"/>
          <w:bCs w:val="0"/>
        </w:rPr>
        <w:t>研发数智化转型总体目标说明：</w:t>
      </w:r>
      <w:r w:rsidRPr="00787330">
        <w:rPr>
          <w:rFonts w:hint="eastAsia"/>
          <w:b w:val="0"/>
          <w:bCs w:val="0"/>
        </w:rPr>
        <w:t>1.</w:t>
      </w:r>
      <w:r w:rsidRPr="00787330">
        <w:rPr>
          <w:rFonts w:hint="eastAsia"/>
          <w:b w:val="0"/>
          <w:bCs w:val="0"/>
        </w:rPr>
        <w:t>建设</w:t>
      </w:r>
      <w:r w:rsidRPr="00787330">
        <w:rPr>
          <w:rFonts w:hint="eastAsia"/>
          <w:b w:val="0"/>
          <w:bCs w:val="0"/>
        </w:rPr>
        <w:t>1</w:t>
      </w:r>
      <w:r w:rsidRPr="00787330">
        <w:rPr>
          <w:rFonts w:hint="eastAsia"/>
          <w:b w:val="0"/>
          <w:bCs w:val="0"/>
        </w:rPr>
        <w:t>个“五全”要求的研发生态；</w:t>
      </w:r>
      <w:r w:rsidRPr="00787330">
        <w:rPr>
          <w:rFonts w:hint="eastAsia"/>
          <w:b w:val="0"/>
          <w:bCs w:val="0"/>
        </w:rPr>
        <w:t>2.</w:t>
      </w:r>
      <w:r w:rsidRPr="00787330">
        <w:rPr>
          <w:rFonts w:hint="eastAsia"/>
          <w:b w:val="0"/>
          <w:bCs w:val="0"/>
        </w:rPr>
        <w:t>制定“</w:t>
      </w:r>
      <w:r w:rsidRPr="00787330">
        <w:rPr>
          <w:rFonts w:hint="eastAsia"/>
          <w:b w:val="0"/>
          <w:bCs w:val="0"/>
        </w:rPr>
        <w:t>1</w:t>
      </w:r>
      <w:r w:rsidRPr="00787330">
        <w:rPr>
          <w:rFonts w:hint="eastAsia"/>
          <w:b w:val="0"/>
          <w:bCs w:val="0"/>
        </w:rPr>
        <w:t>指南</w:t>
      </w:r>
      <w:r w:rsidRPr="00787330">
        <w:rPr>
          <w:rFonts w:hint="eastAsia"/>
          <w:b w:val="0"/>
          <w:bCs w:val="0"/>
        </w:rPr>
        <w:t>4</w:t>
      </w:r>
      <w:r w:rsidRPr="00787330">
        <w:rPr>
          <w:rFonts w:hint="eastAsia"/>
          <w:b w:val="0"/>
          <w:bCs w:val="0"/>
        </w:rPr>
        <w:t>规范”的</w:t>
      </w:r>
      <w:r w:rsidRPr="00787330">
        <w:rPr>
          <w:rFonts w:hint="eastAsia"/>
          <w:b w:val="0"/>
          <w:bCs w:val="0"/>
        </w:rPr>
        <w:t>1</w:t>
      </w:r>
      <w:r w:rsidRPr="00787330">
        <w:rPr>
          <w:rFonts w:hint="eastAsia"/>
          <w:b w:val="0"/>
          <w:bCs w:val="0"/>
        </w:rPr>
        <w:t>套系列标准规范；</w:t>
      </w:r>
      <w:r w:rsidRPr="00787330">
        <w:rPr>
          <w:rFonts w:hint="eastAsia"/>
          <w:b w:val="0"/>
          <w:bCs w:val="0"/>
        </w:rPr>
        <w:t>3.</w:t>
      </w:r>
      <w:r w:rsidRPr="00787330">
        <w:rPr>
          <w:rFonts w:hint="eastAsia"/>
          <w:b w:val="0"/>
          <w:bCs w:val="0"/>
        </w:rPr>
        <w:t>推进子公司在研发流程、研发数据和研发平台等</w:t>
      </w:r>
      <w:r w:rsidRPr="00787330">
        <w:rPr>
          <w:rFonts w:hint="eastAsia"/>
          <w:b w:val="0"/>
          <w:bCs w:val="0"/>
        </w:rPr>
        <w:t>N</w:t>
      </w:r>
      <w:r w:rsidRPr="00787330">
        <w:rPr>
          <w:rFonts w:hint="eastAsia"/>
          <w:b w:val="0"/>
          <w:bCs w:val="0"/>
        </w:rPr>
        <w:t>个方面上的统一；</w:t>
      </w:r>
      <w:r w:rsidRPr="00787330">
        <w:rPr>
          <w:rFonts w:hint="eastAsia"/>
          <w:b w:val="0"/>
          <w:bCs w:val="0"/>
        </w:rPr>
        <w:t>4.</w:t>
      </w:r>
      <w:r w:rsidRPr="00787330">
        <w:rPr>
          <w:rFonts w:hint="eastAsia"/>
          <w:b w:val="0"/>
          <w:bCs w:val="0"/>
        </w:rPr>
        <w:t>提高子公司基于系统工程的正向研发、基于人工智能的产品创新、基于云平台的产业链协同研发、基于智能关联的知识沉淀等</w:t>
      </w:r>
      <w:r w:rsidRPr="00787330">
        <w:rPr>
          <w:rFonts w:hint="eastAsia"/>
          <w:b w:val="0"/>
          <w:bCs w:val="0"/>
        </w:rPr>
        <w:t>4</w:t>
      </w:r>
      <w:r w:rsidRPr="00787330">
        <w:rPr>
          <w:rFonts w:hint="eastAsia"/>
          <w:b w:val="0"/>
          <w:bCs w:val="0"/>
        </w:rPr>
        <w:t>个能力。</w:t>
      </w:r>
    </w:p>
    <w:p w14:paraId="3124FE04" w14:textId="77777777" w:rsidR="00787330" w:rsidRPr="00787330" w:rsidRDefault="00787330" w:rsidP="00787330">
      <w:pPr>
        <w:rPr>
          <w:rFonts w:hint="eastAsia"/>
          <w:b w:val="0"/>
          <w:bCs w:val="0"/>
        </w:rPr>
      </w:pPr>
      <w:r w:rsidRPr="00787330">
        <w:rPr>
          <w:rFonts w:hint="eastAsia"/>
          <w:b w:val="0"/>
          <w:bCs w:val="0"/>
        </w:rPr>
        <w:t>附图</w:t>
      </w:r>
      <w:r w:rsidRPr="00787330">
        <w:rPr>
          <w:rFonts w:hint="eastAsia"/>
          <w:b w:val="0"/>
          <w:bCs w:val="0"/>
        </w:rPr>
        <w:t>4</w:t>
      </w:r>
      <w:r w:rsidRPr="00787330">
        <w:rPr>
          <w:rFonts w:hint="eastAsia"/>
          <w:b w:val="0"/>
          <w:bCs w:val="0"/>
        </w:rPr>
        <w:t>研发业务域总体应用架构说明：基于集团统一业务流程和数据架构，系统规划业务协同层、应用模块层和基础支撑层，形成集团级研发平台架构设计规范。</w:t>
      </w:r>
    </w:p>
    <w:p w14:paraId="7331A103" w14:textId="77777777" w:rsidR="00787330" w:rsidRPr="00787330" w:rsidRDefault="00787330" w:rsidP="00787330">
      <w:pPr>
        <w:rPr>
          <w:rFonts w:hint="eastAsia"/>
          <w:b w:val="0"/>
          <w:bCs w:val="0"/>
        </w:rPr>
      </w:pPr>
      <w:r w:rsidRPr="00787330">
        <w:rPr>
          <w:rFonts w:hint="eastAsia"/>
          <w:b w:val="0"/>
          <w:bCs w:val="0"/>
        </w:rPr>
        <w:t>附图</w:t>
      </w:r>
      <w:r w:rsidRPr="00787330">
        <w:rPr>
          <w:rFonts w:hint="eastAsia"/>
          <w:b w:val="0"/>
          <w:bCs w:val="0"/>
        </w:rPr>
        <w:t>5</w:t>
      </w:r>
      <w:r w:rsidRPr="00787330">
        <w:rPr>
          <w:rFonts w:hint="eastAsia"/>
          <w:b w:val="0"/>
          <w:bCs w:val="0"/>
        </w:rPr>
        <w:t>研发流程分级架构图说明：搭建研发流程分级架构，集团统一</w:t>
      </w:r>
      <w:r w:rsidRPr="00787330">
        <w:rPr>
          <w:rFonts w:hint="eastAsia"/>
          <w:b w:val="0"/>
          <w:bCs w:val="0"/>
        </w:rPr>
        <w:t>L1</w:t>
      </w:r>
      <w:r w:rsidRPr="00787330">
        <w:rPr>
          <w:rFonts w:hint="eastAsia"/>
          <w:b w:val="0"/>
          <w:bCs w:val="0"/>
        </w:rPr>
        <w:t>流程分类、</w:t>
      </w:r>
      <w:r w:rsidRPr="00787330">
        <w:rPr>
          <w:rFonts w:hint="eastAsia"/>
          <w:b w:val="0"/>
          <w:bCs w:val="0"/>
        </w:rPr>
        <w:t>L2</w:t>
      </w:r>
      <w:r w:rsidRPr="00787330">
        <w:rPr>
          <w:rFonts w:hint="eastAsia"/>
          <w:b w:val="0"/>
          <w:bCs w:val="0"/>
        </w:rPr>
        <w:t>流程组、</w:t>
      </w:r>
      <w:r w:rsidRPr="00787330">
        <w:rPr>
          <w:rFonts w:hint="eastAsia"/>
          <w:b w:val="0"/>
          <w:bCs w:val="0"/>
        </w:rPr>
        <w:t>L3</w:t>
      </w:r>
      <w:r w:rsidRPr="00787330">
        <w:rPr>
          <w:rFonts w:hint="eastAsia"/>
          <w:b w:val="0"/>
          <w:bCs w:val="0"/>
        </w:rPr>
        <w:t>流程，子公司制定</w:t>
      </w:r>
      <w:r w:rsidRPr="00787330">
        <w:rPr>
          <w:rFonts w:hint="eastAsia"/>
          <w:b w:val="0"/>
          <w:bCs w:val="0"/>
        </w:rPr>
        <w:t>L4</w:t>
      </w:r>
      <w:r w:rsidRPr="00787330">
        <w:rPr>
          <w:rFonts w:hint="eastAsia"/>
          <w:b w:val="0"/>
          <w:bCs w:val="0"/>
        </w:rPr>
        <w:t>子流程、</w:t>
      </w:r>
      <w:r w:rsidRPr="00787330">
        <w:rPr>
          <w:rFonts w:hint="eastAsia"/>
          <w:b w:val="0"/>
          <w:bCs w:val="0"/>
        </w:rPr>
        <w:t>L5</w:t>
      </w:r>
      <w:r w:rsidRPr="00787330">
        <w:rPr>
          <w:rFonts w:hint="eastAsia"/>
          <w:b w:val="0"/>
          <w:bCs w:val="0"/>
        </w:rPr>
        <w:t>活动、</w:t>
      </w:r>
      <w:r w:rsidRPr="00787330">
        <w:rPr>
          <w:rFonts w:hint="eastAsia"/>
          <w:b w:val="0"/>
          <w:bCs w:val="0"/>
        </w:rPr>
        <w:t>L6</w:t>
      </w:r>
      <w:r w:rsidRPr="00787330">
        <w:rPr>
          <w:rFonts w:hint="eastAsia"/>
          <w:b w:val="0"/>
          <w:bCs w:val="0"/>
        </w:rPr>
        <w:t>表单模板。</w:t>
      </w:r>
    </w:p>
    <w:p w14:paraId="4698DDFB" w14:textId="51FAEDD2" w:rsidR="009319C3" w:rsidRPr="00787330" w:rsidRDefault="00787330" w:rsidP="00787330">
      <w:pPr>
        <w:rPr>
          <w:b w:val="0"/>
          <w:bCs w:val="0"/>
        </w:rPr>
      </w:pPr>
      <w:r w:rsidRPr="00787330">
        <w:rPr>
          <w:rFonts w:hint="eastAsia"/>
          <w:b w:val="0"/>
          <w:bCs w:val="0"/>
        </w:rPr>
        <w:t>附图</w:t>
      </w:r>
      <w:r w:rsidRPr="00787330">
        <w:rPr>
          <w:rFonts w:hint="eastAsia"/>
          <w:b w:val="0"/>
          <w:bCs w:val="0"/>
        </w:rPr>
        <w:t>6</w:t>
      </w:r>
      <w:r w:rsidRPr="00787330">
        <w:rPr>
          <w:rFonts w:hint="eastAsia"/>
          <w:b w:val="0"/>
          <w:bCs w:val="0"/>
        </w:rPr>
        <w:t>产品研发流程框架图说明：研发流程分为业务流程、管理流程和支撑流程三类，按分层分级原则，划分</w:t>
      </w:r>
      <w:r w:rsidRPr="00787330">
        <w:rPr>
          <w:rFonts w:hint="eastAsia"/>
          <w:b w:val="0"/>
          <w:bCs w:val="0"/>
        </w:rPr>
        <w:t>L2</w:t>
      </w:r>
      <w:r w:rsidRPr="00787330">
        <w:rPr>
          <w:rFonts w:hint="eastAsia"/>
          <w:b w:val="0"/>
          <w:bCs w:val="0"/>
        </w:rPr>
        <w:t>流程组和</w:t>
      </w:r>
      <w:r w:rsidRPr="00787330">
        <w:rPr>
          <w:rFonts w:hint="eastAsia"/>
          <w:b w:val="0"/>
          <w:bCs w:val="0"/>
        </w:rPr>
        <w:t>L3</w:t>
      </w:r>
      <w:r w:rsidRPr="00787330">
        <w:rPr>
          <w:rFonts w:hint="eastAsia"/>
          <w:b w:val="0"/>
          <w:bCs w:val="0"/>
        </w:rPr>
        <w:t>流程。</w:t>
      </w:r>
    </w:p>
    <w:sectPr w:rsidR="009319C3" w:rsidRPr="007873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330"/>
    <w:rsid w:val="003B3D03"/>
    <w:rsid w:val="0064399E"/>
    <w:rsid w:val="00761CEE"/>
    <w:rsid w:val="00787330"/>
    <w:rsid w:val="009319C3"/>
    <w:rsid w:val="00AC5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DAB82E"/>
  <w15:chartTrackingRefBased/>
  <w15:docId w15:val="{DD6EA78B-C5AE-554E-82BF-7F6AC64E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
        <w:bCs/>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3D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73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73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7330"/>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87330"/>
    <w:pPr>
      <w:keepNext/>
      <w:keepLines/>
      <w:spacing w:before="80" w:after="40"/>
      <w:outlineLvl w:val="4"/>
    </w:pPr>
    <w:rPr>
      <w:rFonts w:asciiTheme="minorHAnsi" w:hAnsiTheme="minorHAnsi" w:cstheme="majorBidi"/>
      <w:color w:val="0F4761" w:themeColor="accent1" w:themeShade="BF"/>
      <w:sz w:val="24"/>
    </w:rPr>
  </w:style>
  <w:style w:type="paragraph" w:styleId="6">
    <w:name w:val="heading 6"/>
    <w:basedOn w:val="a"/>
    <w:next w:val="a"/>
    <w:link w:val="60"/>
    <w:uiPriority w:val="9"/>
    <w:semiHidden/>
    <w:unhideWhenUsed/>
    <w:qFormat/>
    <w:rsid w:val="00787330"/>
    <w:pPr>
      <w:keepNext/>
      <w:keepLines/>
      <w:spacing w:before="40" w:after="0"/>
      <w:outlineLvl w:val="5"/>
    </w:pPr>
    <w:rPr>
      <w:rFonts w:asciiTheme="minorHAnsi" w:hAnsiTheme="minorHAnsi" w:cstheme="majorBidi"/>
      <w:color w:val="0F4761" w:themeColor="accent1" w:themeShade="BF"/>
    </w:rPr>
  </w:style>
  <w:style w:type="paragraph" w:styleId="7">
    <w:name w:val="heading 7"/>
    <w:basedOn w:val="a"/>
    <w:next w:val="a"/>
    <w:link w:val="70"/>
    <w:uiPriority w:val="9"/>
    <w:semiHidden/>
    <w:unhideWhenUsed/>
    <w:qFormat/>
    <w:rsid w:val="00787330"/>
    <w:pPr>
      <w:keepNext/>
      <w:keepLines/>
      <w:spacing w:before="40" w:after="0"/>
      <w:outlineLvl w:val="6"/>
    </w:pPr>
    <w:rPr>
      <w:rFonts w:asciiTheme="minorHAnsi" w:hAnsiTheme="minorHAnsi" w:cstheme="majorBidi"/>
      <w:color w:val="595959" w:themeColor="text1" w:themeTint="A6"/>
    </w:rPr>
  </w:style>
  <w:style w:type="paragraph" w:styleId="8">
    <w:name w:val="heading 8"/>
    <w:basedOn w:val="a"/>
    <w:next w:val="a"/>
    <w:link w:val="80"/>
    <w:uiPriority w:val="9"/>
    <w:semiHidden/>
    <w:unhideWhenUsed/>
    <w:qFormat/>
    <w:rsid w:val="00787330"/>
    <w:pPr>
      <w:keepNext/>
      <w:keepLines/>
      <w:spacing w:after="0"/>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787330"/>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1"/>
    <w:qFormat/>
    <w:rsid w:val="003B3D03"/>
    <w:pPr>
      <w:snapToGrid w:val="0"/>
      <w:spacing w:beforeLines="50" w:before="199" w:afterLines="50" w:after="199" w:line="560" w:lineRule="exact"/>
    </w:pPr>
    <w:rPr>
      <w:rFonts w:ascii="Times New Roman" w:eastAsia="黑体" w:hAnsi="Times New Roman" w:cs="Times New Roman"/>
      <w:color w:val="auto"/>
      <w:kern w:val="44"/>
      <w:sz w:val="32"/>
      <w:szCs w:val="44"/>
      <w14:ligatures w14:val="none"/>
    </w:rPr>
  </w:style>
  <w:style w:type="character" w:customStyle="1" w:styleId="10">
    <w:name w:val="标题 1 字符"/>
    <w:basedOn w:val="a0"/>
    <w:link w:val="1"/>
    <w:uiPriority w:val="9"/>
    <w:rsid w:val="003B3D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873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73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7330"/>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787330"/>
    <w:rPr>
      <w:rFonts w:asciiTheme="minorHAnsi" w:hAnsiTheme="minorHAnsi" w:cstheme="majorBidi"/>
      <w:color w:val="0F4761" w:themeColor="accent1" w:themeShade="BF"/>
      <w:sz w:val="24"/>
    </w:rPr>
  </w:style>
  <w:style w:type="character" w:customStyle="1" w:styleId="60">
    <w:name w:val="标题 6 字符"/>
    <w:basedOn w:val="a0"/>
    <w:link w:val="6"/>
    <w:uiPriority w:val="9"/>
    <w:semiHidden/>
    <w:rsid w:val="00787330"/>
    <w:rPr>
      <w:rFonts w:asciiTheme="minorHAnsi" w:hAnsiTheme="minorHAnsi" w:cstheme="majorBidi"/>
      <w:color w:val="0F4761" w:themeColor="accent1" w:themeShade="BF"/>
    </w:rPr>
  </w:style>
  <w:style w:type="character" w:customStyle="1" w:styleId="70">
    <w:name w:val="标题 7 字符"/>
    <w:basedOn w:val="a0"/>
    <w:link w:val="7"/>
    <w:uiPriority w:val="9"/>
    <w:semiHidden/>
    <w:rsid w:val="00787330"/>
    <w:rPr>
      <w:rFonts w:asciiTheme="minorHAnsi" w:hAnsiTheme="minorHAnsi" w:cstheme="majorBidi"/>
      <w:color w:val="595959" w:themeColor="text1" w:themeTint="A6"/>
    </w:rPr>
  </w:style>
  <w:style w:type="character" w:customStyle="1" w:styleId="80">
    <w:name w:val="标题 8 字符"/>
    <w:basedOn w:val="a0"/>
    <w:link w:val="8"/>
    <w:uiPriority w:val="9"/>
    <w:semiHidden/>
    <w:rsid w:val="00787330"/>
    <w:rPr>
      <w:rFonts w:asciiTheme="minorHAnsi" w:hAnsiTheme="minorHAnsi" w:cstheme="majorBidi"/>
      <w:color w:val="595959" w:themeColor="text1" w:themeTint="A6"/>
    </w:rPr>
  </w:style>
  <w:style w:type="character" w:customStyle="1" w:styleId="90">
    <w:name w:val="标题 9 字符"/>
    <w:basedOn w:val="a0"/>
    <w:link w:val="9"/>
    <w:uiPriority w:val="9"/>
    <w:semiHidden/>
    <w:rsid w:val="00787330"/>
    <w:rPr>
      <w:rFonts w:asciiTheme="minorHAnsi" w:eastAsiaTheme="majorEastAsia" w:hAnsiTheme="minorHAnsi" w:cstheme="majorBidi"/>
      <w:color w:val="595959" w:themeColor="text1" w:themeTint="A6"/>
    </w:rPr>
  </w:style>
  <w:style w:type="paragraph" w:styleId="a4">
    <w:name w:val="Title"/>
    <w:basedOn w:val="a"/>
    <w:next w:val="a"/>
    <w:link w:val="a5"/>
    <w:uiPriority w:val="10"/>
    <w:qFormat/>
    <w:rsid w:val="007873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787330"/>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873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787330"/>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787330"/>
    <w:pPr>
      <w:spacing w:before="160"/>
      <w:jc w:val="center"/>
    </w:pPr>
    <w:rPr>
      <w:i/>
      <w:iCs/>
      <w:color w:val="404040" w:themeColor="text1" w:themeTint="BF"/>
    </w:rPr>
  </w:style>
  <w:style w:type="character" w:customStyle="1" w:styleId="a9">
    <w:name w:val="引用 字符"/>
    <w:basedOn w:val="a0"/>
    <w:link w:val="a8"/>
    <w:uiPriority w:val="29"/>
    <w:rsid w:val="00787330"/>
    <w:rPr>
      <w:i/>
      <w:iCs/>
      <w:color w:val="404040" w:themeColor="text1" w:themeTint="BF"/>
    </w:rPr>
  </w:style>
  <w:style w:type="paragraph" w:styleId="aa">
    <w:name w:val="List Paragraph"/>
    <w:basedOn w:val="a"/>
    <w:uiPriority w:val="34"/>
    <w:qFormat/>
    <w:rsid w:val="00787330"/>
    <w:pPr>
      <w:ind w:left="720"/>
      <w:contextualSpacing/>
    </w:pPr>
  </w:style>
  <w:style w:type="character" w:styleId="ab">
    <w:name w:val="Intense Emphasis"/>
    <w:basedOn w:val="a0"/>
    <w:uiPriority w:val="21"/>
    <w:qFormat/>
    <w:rsid w:val="00787330"/>
    <w:rPr>
      <w:i/>
      <w:iCs/>
      <w:color w:val="0F4761" w:themeColor="accent1" w:themeShade="BF"/>
    </w:rPr>
  </w:style>
  <w:style w:type="paragraph" w:styleId="ac">
    <w:name w:val="Intense Quote"/>
    <w:basedOn w:val="a"/>
    <w:next w:val="a"/>
    <w:link w:val="ad"/>
    <w:uiPriority w:val="30"/>
    <w:qFormat/>
    <w:rsid w:val="00787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787330"/>
    <w:rPr>
      <w:i/>
      <w:iCs/>
      <w:color w:val="0F4761" w:themeColor="accent1" w:themeShade="BF"/>
    </w:rPr>
  </w:style>
  <w:style w:type="character" w:styleId="ae">
    <w:name w:val="Intense Reference"/>
    <w:basedOn w:val="a0"/>
    <w:uiPriority w:val="32"/>
    <w:qFormat/>
    <w:rsid w:val="00787330"/>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961</Words>
  <Characters>5482</Characters>
  <Application>Microsoft Office Word</Application>
  <DocSecurity>0</DocSecurity>
  <Lines>45</Lines>
  <Paragraphs>12</Paragraphs>
  <ScaleCrop>false</ScaleCrop>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Tongtong Wang</dc:creator>
  <cp:keywords/>
  <dc:description/>
  <cp:lastModifiedBy>Tongtong Wang</cp:lastModifiedBy>
  <cp:revision>1</cp:revision>
  <dcterms:created xsi:type="dcterms:W3CDTF">2026-05-06T03:14:00Z</dcterms:created>
  <dcterms:modified xsi:type="dcterms:W3CDTF">2026-05-06T03:15:00Z</dcterms:modified>
</cp:coreProperties>
</file>