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40" w:before="0" w:line="340" w:lineRule="auto"/>
        <w:ind w:left="660" w:right="660" w:firstLine="0"/>
        <w:rPr>
          <w:rFonts w:ascii="Roboto" w:cs="Roboto" w:eastAsia="Roboto" w:hAnsi="Roboto"/>
          <w:b w:val="1"/>
          <w:bCs w:val="1"/>
          <w:color w:val="0f1115"/>
          <w:sz w:val="36"/>
          <w:szCs w:val="36"/>
        </w:rPr>
      </w:pPr>
      <w:bookmarkStart w:colFirst="0" w:colLast="0" w:name="_wijzv1iotcel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rtl w:val="0"/>
        </w:rPr>
        <w:t xml:space="preserve">📊 South Africa Public Procurement Intelligence System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Project Goal: Turn raw eTenders data into actionable intelligence.</w:t>
        <w:br w:type="textWrapping"/>
        <w:t xml:space="preserve">Outcome: A production‑ready machine‑learning model that predicts contract values with R²=0.40 (40% of the variance explained), plus a dashboard, anomaly detector, and opportunity matrix.</w:t>
      </w:r>
    </w:p>
    <w:p w:rsidR="00000000" w:rsidDel="00000000" w:rsidP="00000000" w:rsidRDefault="00000000" w:rsidRPr="00000000" w14:paraId="00000003">
      <w:pPr>
        <w:shd w:fill="ffffff" w:val="clear"/>
        <w:spacing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hd w:fill="ffffff" w:val="clear"/>
        <w:spacing w:after="240" w:before="480" w:line="349.09090909090907" w:lineRule="auto"/>
        <w:ind w:left="660" w:right="660" w:firstLine="0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a1bt9mun142j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1. Project Overview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The South Africa Public Procurement Intelligence System analyses historical tender data to: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24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Predict the likely contract value for any given tender.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Identify the best province×sector×quarter opportunities for suppliers.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Flag governance red flags (anomalies) for procurement officials.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24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Provide a fully interactive dashboard, a REST API, and an automated Excel report.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The system is built on MySQL staging tables containing over 43,000 tenders, 8,000 awards, and 1,000 contracts from the eTenders portal (OCDS format).</w:t>
      </w:r>
    </w:p>
    <w:p w:rsidR="00000000" w:rsidDel="00000000" w:rsidP="00000000" w:rsidRDefault="00000000" w:rsidRPr="00000000" w14:paraId="0000000B">
      <w:pPr>
        <w:shd w:fill="ffffff" w:val="clear"/>
        <w:spacing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hd w:fill="ffffff" w:val="clear"/>
        <w:spacing w:after="240" w:before="480" w:line="349.09090909090907" w:lineRule="auto"/>
        <w:ind w:left="660" w:right="660" w:firstLine="0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n0emz7v79ttx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2. Data Loading &amp; Integration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hd w:fill="ffffff" w:val="clear"/>
        <w:spacing w:after="240" w:before="480" w:line="360" w:lineRule="auto"/>
        <w:ind w:left="660" w:right="660" w:firstLine="0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86t2m2lijz0i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Original challenge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Initially, the notebook loaded only rows with a positive contract value, yielding 1,042 records. This was too small to capture the full market.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hd w:fill="ffffff" w:val="clear"/>
        <w:spacing w:after="240" w:before="480" w:line="360" w:lineRule="auto"/>
        <w:ind w:left="660" w:right="660" w:firstLine="0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t3iwwsgwq1d3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Full dataset integration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We restructured the loading query to bring in all awards (with supplier names and tender details) regardless of whether a contract existed. Contract information (value &amp; duration) was merged where available. If a contract value was missing, the award value was used instead. This produced 5,679 rows (award‑level).</w:t>
      </w:r>
    </w:p>
    <w:p w:rsidR="00000000" w:rsidDel="00000000" w:rsidP="00000000" w:rsidRDefault="00000000" w:rsidRPr="00000000" w14:paraId="00000011">
      <w:pPr>
        <w:shd w:fill="ffffff" w:val="clear"/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24"/>
          <w:szCs w:val="24"/>
          <w:rtl w:val="0"/>
        </w:rPr>
        <w:t xml:space="preserve">However, training on this full, noisy dataset gave poor results (R² ≈ 0.15) because many small awards never materialise into real contracts and add randomness.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hd w:fill="ffffff" w:val="clear"/>
        <w:spacing w:after="240" w:before="480" w:line="360" w:lineRule="auto"/>
        <w:ind w:left="660" w:right="660" w:firstLine="0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j5rdsw6k79bb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Smart filtering</w:t>
      </w:r>
    </w:p>
    <w:p w:rsidR="00000000" w:rsidDel="00000000" w:rsidP="00000000" w:rsidRDefault="00000000" w:rsidRPr="00000000" w14:paraId="00000013">
      <w:pPr>
        <w:shd w:fill="ffffff" w:val="clear"/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To retain high‑quality data, we kept only awards that either: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had an actual contract (duration &gt; 0), or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had an award value above R500,000.</w:t>
      </w:r>
    </w:p>
    <w:p w:rsidR="00000000" w:rsidDel="00000000" w:rsidP="00000000" w:rsidRDefault="00000000" w:rsidRPr="00000000" w14:paraId="00000016">
      <w:pPr>
        <w:shd w:fill="ffffff" w:val="clear"/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This yielded ~1,800 rows – enough to capture patterns while discarding pure noise. This filtered set became the basis for model training.</w:t>
      </w:r>
    </w:p>
    <w:p w:rsidR="00000000" w:rsidDel="00000000" w:rsidP="00000000" w:rsidRDefault="00000000" w:rsidRPr="00000000" w14:paraId="00000017">
      <w:pPr>
        <w:shd w:fill="ffffff" w:val="clear"/>
        <w:spacing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hd w:fill="ffffff" w:val="clear"/>
        <w:spacing w:after="240" w:before="480" w:line="349.09090909090907" w:lineRule="auto"/>
        <w:ind w:left="660" w:right="660" w:firstLine="0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5p97t19t4c58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3. Feature Engineering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We engineered 40+ features from the raw columns. The most important ones are: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2.3899892007507"/>
        <w:gridCol w:w="3160.7318326221207"/>
        <w:gridCol w:w="2932.3899892007507"/>
        <w:tblGridChange w:id="0">
          <w:tblGrid>
            <w:gridCol w:w="2932.3899892007507"/>
            <w:gridCol w:w="3160.7318326221207"/>
            <w:gridCol w:w="2932.3899892007507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Why it helps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duration_days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Contract length in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Key predictor of contract 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duration_band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Categorised duration (&lt;3mo,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EDA showed bimodal pattern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is_peak_month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Whether the tender was issued in August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Seasonality (peak month)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buyer_mean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buyer_std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Average &amp; std of buyer’s contract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Captures typical buyer behaviour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buyer_cat_count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How many times a buyer has bought this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Buyer expertise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supplier_prior_awards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Number of previous awards to the same supplier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Influences value expectations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month_sin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month_cos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Cyclic encoding of the 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Smoothly captures yearly cycles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province_quarter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prov_cat_q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Interaction terms (province×quarter,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EDA proved these are the strongest signals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hd w:fill="ffffff" w:val="clear"/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All values were log‑transformed 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log1p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 for modelling, because contract values span from R1 to R1.6 billion and are extremely right‑skewed. Outliers were capped at the 99.5th percentile to stabilise training.</w:t>
      </w:r>
    </w:p>
    <w:p w:rsidR="00000000" w:rsidDel="00000000" w:rsidP="00000000" w:rsidRDefault="00000000" w:rsidRPr="00000000" w14:paraId="00000036">
      <w:pPr>
        <w:shd w:fill="ffffff" w:val="clear"/>
        <w:spacing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hd w:fill="ffffff" w:val="clear"/>
        <w:spacing w:after="240" w:before="480" w:line="349.09090909090907" w:lineRule="auto"/>
        <w:ind w:left="660" w:right="660" w:firstLine="0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nbvvmya8865p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4. Model Development Journey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hd w:fill="ffffff" w:val="clear"/>
        <w:spacing w:after="240" w:before="480" w:line="360" w:lineRule="auto"/>
        <w:ind w:left="660" w:right="660" w:firstLine="0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2tle5sulbok6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Phase 1 – Small, clean dataset (1,042 rows)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Random Forest R²: 0.33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Good start, but limited data.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hd w:fill="ffffff" w:val="clear"/>
        <w:spacing w:after="240" w:before="480" w:line="360" w:lineRule="auto"/>
        <w:ind w:left="660" w:right="660" w:firstLine="0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w8bvh8js0fj2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Phase 2 – Full awards dataset (5,679 rows)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240" w:lineRule="auto"/>
        <w:ind w:left="1380" w:right="660" w:hanging="360"/>
      </w:pPr>
      <w:r w:rsidDel="00000000" w:rsidR="00000000" w:rsidRPr="00000000">
        <w:rPr>
          <w:rFonts w:ascii="Nova Mono" w:cs="Nova Mono" w:eastAsia="Nova Mono" w:hAnsi="Nova Mono"/>
          <w:color w:val="0f1115"/>
          <w:sz w:val="24"/>
          <w:szCs w:val="24"/>
          <w:rtl w:val="0"/>
        </w:rPr>
        <w:t xml:space="preserve">Added all awards → R² dropped to 0.15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24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Too much noise; many low‑value, non‑contract awards diluted the signal.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hd w:fill="ffffff" w:val="clear"/>
        <w:spacing w:after="240" w:before="480" w:line="360" w:lineRule="auto"/>
        <w:ind w:left="660" w:right="660" w:firstLine="0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8m279zmzb0fj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Phase 3 – Filtered + enhanced features (1,800 rows)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24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Applied smart filtering, added buyer aggregates and outlier capping.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Tuned Random Forest with GridSearchCV.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24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R² climbed to 0.33 again, now on almost double the data.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hd w:fill="ffffff" w:val="clear"/>
        <w:spacing w:after="240" w:before="480" w:line="360" w:lineRule="auto"/>
        <w:ind w:left="660" w:right="660" w:firstLine="0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d89osbak9a18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Phase 4 – Final improvements (current)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24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Added cyclic month/quarter features for smooth seasonality.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Added buyer‑category interaction count 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buyer_cat_count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Built a Stacking Ensemble that combines Random Forest, XGBoost, and LightGBM using a small Random Forest as meta‑learner.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No target leakage; proper cross‑validation throughout.</w:t>
      </w:r>
    </w:p>
    <w:p w:rsidR="00000000" w:rsidDel="00000000" w:rsidP="00000000" w:rsidRDefault="00000000" w:rsidRPr="00000000" w14:paraId="00000047">
      <w:pPr>
        <w:shd w:fill="ffffff" w:val="clear"/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Final result: R² = 0.40 (test), CV R² = 0.38 – a significant jump from the previous best.</w:t>
      </w:r>
    </w:p>
    <w:p w:rsidR="00000000" w:rsidDel="00000000" w:rsidP="00000000" w:rsidRDefault="00000000" w:rsidRPr="00000000" w14:paraId="00000048">
      <w:pPr>
        <w:shd w:fill="ffffff" w:val="clear"/>
        <w:spacing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hd w:fill="ffffff" w:val="clear"/>
        <w:spacing w:after="240" w:before="480" w:line="349.09090909090907" w:lineRule="auto"/>
        <w:ind w:left="660" w:right="660" w:firstLine="0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nrsfb84j0qaw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5. Final Model Performance</w:t>
      </w:r>
    </w:p>
    <w:p w:rsidR="00000000" w:rsidDel="00000000" w:rsidP="00000000" w:rsidRDefault="00000000" w:rsidRPr="00000000" w14:paraId="0000004A">
      <w:pPr>
        <w:shd w:fill="ffffff" w:val="clear"/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We compared six models on the filtered, feature‑rich training set (1,800 rows). The table below shows test set metrics and 5‑fold cross‑validation R².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7.1327549024525"/>
        <w:gridCol w:w="1897.0821004062393"/>
        <w:gridCol w:w="1897.0821004062393"/>
        <w:gridCol w:w="1897.0821004062393"/>
        <w:gridCol w:w="1667.1327549024525"/>
        <w:tblGridChange w:id="0">
          <w:tblGrid>
            <w:gridCol w:w="1667.1327549024525"/>
            <w:gridCol w:w="1897.0821004062393"/>
            <w:gridCol w:w="1897.0821004062393"/>
            <w:gridCol w:w="1897.0821004062393"/>
            <w:gridCol w:w="1667.132754902452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R² (test)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CV R² (mean)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MAE (log)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MAPE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Stacking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0.3988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0.3759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1.574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539.44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Ensemble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0.3919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0.3807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1.554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614.88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Random Forest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0.3793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0.3619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1.615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537.02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XGBoost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0.3667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0.3549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1.579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677.76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LightGBM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0.3571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0.3471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1.582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750.02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0.1740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0.1510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1.992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700.73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hd w:fill="ffffff" w:val="clear"/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Interpretation of key metrics: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24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R² – The proportion of variation in log‑contract‑value explained. 0.40 is strong for procurement data, where many factors are unpredictable (political discretion, emergency needs, etc.).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CV R² – Similar to test R², meaning the model generalises well to new tenders.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MAE (log) – On average, predictions are off by about </w:t>
      </w:r>
      <w:r w:rsidDel="00000000" w:rsidR="00000000" w:rsidRPr="00000000">
        <w:rPr>
          <w:rFonts w:ascii="Nova Mono" w:cs="Nova Mono" w:eastAsia="Nova Mono" w:hAnsi="Nova Mono"/>
          <w:color w:val="0f1115"/>
          <w:sz w:val="21"/>
          <w:szCs w:val="21"/>
          <w:shd w:fill="ebeef2" w:val="clear"/>
          <w:rtl w:val="0"/>
        </w:rPr>
        <w:t xml:space="preserve">exp(1.574) ≈ 4.8×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the true value. Example: for a true R10M contract, prediction typically falls between R2M and R50M. This is a huge improvement over the earlier 14× error factor.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4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MAPE % – Ignored because small contract values artificially inflate the percentage; the system uses confidence bands instead.</w:t>
      </w:r>
    </w:p>
    <w:p w:rsidR="00000000" w:rsidDel="00000000" w:rsidP="00000000" w:rsidRDefault="00000000" w:rsidRPr="00000000" w14:paraId="00000073">
      <w:pPr>
        <w:shd w:fill="ffffff" w:val="clear"/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Stacking is the recommended model for the dashboard and API. It’s saved as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models/stacking.pkl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4">
      <w:pPr>
        <w:shd w:fill="ffffff" w:val="clear"/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Top 10 Feature Importances (Random Forest):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28.792092477803"/>
        <w:gridCol w:w="4296.719718545821"/>
        <w:tblGridChange w:id="0">
          <w:tblGrid>
            <w:gridCol w:w="4728.792092477803"/>
            <w:gridCol w:w="4296.719718545821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Importance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duration_days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0.202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buyer_cat_count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0.173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duration_band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0.138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0.105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0.074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province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0.051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province_quarter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0.050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0.030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month_sin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0.027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province_cat_q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0.025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hd w:fill="ffffff" w:val="clear"/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This shows that contract duration and buyer‑category experience are the dominant drivers of contract value.</w:t>
      </w:r>
    </w:p>
    <w:p w:rsidR="00000000" w:rsidDel="00000000" w:rsidP="00000000" w:rsidRDefault="00000000" w:rsidRPr="00000000" w14:paraId="0000008C">
      <w:pPr>
        <w:shd w:fill="ffffff" w:val="clear"/>
        <w:spacing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hd w:fill="ffffff" w:val="clear"/>
        <w:spacing w:after="240" w:before="480" w:line="349.09090909090907" w:lineRule="auto"/>
        <w:ind w:left="660" w:right="660" w:firstLine="0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gb2mzvajte5p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6. Anomaly Detection</w:t>
      </w:r>
    </w:p>
    <w:p w:rsidR="00000000" w:rsidDel="00000000" w:rsidP="00000000" w:rsidRDefault="00000000" w:rsidRPr="00000000" w14:paraId="0000008E">
      <w:pPr>
        <w:shd w:fill="ffffff" w:val="clear"/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The system applies 7 governance red flags (e.g., restricted method above R15M, new supplier large award, statistical outliers). After filtering, about 37% of records are flagged, which is normal for a large dataset with many small awards.</w:t>
      </w:r>
    </w:p>
    <w:p w:rsidR="00000000" w:rsidDel="00000000" w:rsidP="00000000" w:rsidRDefault="00000000" w:rsidRPr="00000000" w14:paraId="0000008F">
      <w:pPr>
        <w:shd w:fill="ffffff" w:val="clear"/>
        <w:spacing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hd w:fill="ffffff" w:val="clear"/>
        <w:spacing w:after="240" w:before="480" w:line="349.09090909090907" w:lineRule="auto"/>
        <w:ind w:left="660" w:right="660" w:firstLine="0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yuwk7ydx7nhz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7. Opportunity Matrix</w:t>
      </w:r>
    </w:p>
    <w:p w:rsidR="00000000" w:rsidDel="00000000" w:rsidP="00000000" w:rsidRDefault="00000000" w:rsidRPr="00000000" w14:paraId="00000091">
      <w:pPr>
        <w:shd w:fill="ffffff" w:val="clear"/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 province×sector×quarter matrix was built from the filtered dataset, scoring cells by log(median_value) × reliability × seasonality. The matrix has 96 cells and is used by the Supplier Strategy page and the API to recommend where and when to bid.</w:t>
      </w:r>
    </w:p>
    <w:p w:rsidR="00000000" w:rsidDel="00000000" w:rsidP="00000000" w:rsidRDefault="00000000" w:rsidRPr="00000000" w14:paraId="00000092">
      <w:pPr>
        <w:shd w:fill="ffffff" w:val="clear"/>
        <w:spacing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hd w:fill="ffffff" w:val="clear"/>
        <w:spacing w:after="240" w:before="480" w:line="349.09090909090907" w:lineRule="auto"/>
        <w:ind w:left="660" w:right="660" w:firstLine="0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bhjvjbklnmoz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8. Dashboard &amp; API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24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Streamlit Dashboard (5 pages): Overview, Opportunity Matrix, Value Forecaster, Anomaly Monitor, Supplier Strategy.</w:t>
        <w:br w:type="textWrapping"/>
        <w:t xml:space="preserve">Launch: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streamlit run dashboards/app.py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(after activating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Python_environment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24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FastAPI REST API (10 endpoints): forecasting, opportunities, anomalies, benchmarks.</w:t>
        <w:br w:type="textWrapping"/>
        <w:t xml:space="preserve">Launch: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uvicorn api.main:app --reload --port 8000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6">
      <w:pPr>
        <w:shd w:fill="ffffff" w:val="clear"/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Both load the best model (stacking) and the saved matrix.</w:t>
      </w:r>
    </w:p>
    <w:p w:rsidR="00000000" w:rsidDel="00000000" w:rsidP="00000000" w:rsidRDefault="00000000" w:rsidRPr="00000000" w14:paraId="00000097">
      <w:pPr>
        <w:shd w:fill="ffffff" w:val="clear"/>
        <w:spacing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hd w:fill="ffffff" w:val="clear"/>
        <w:spacing w:after="240" w:before="480" w:line="349.09090909090907" w:lineRule="auto"/>
        <w:ind w:left="660" w:right="660" w:firstLine="0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8hx8sou5yoq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9. Recommendations for Future Work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24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Hyper‑parameter tuning with Optuna could push R² above 0.42.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Add textual features (from tender descriptions, if available) using NLP.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Incorporate external data (CPI, industry indices) for macro trends.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24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Retrain weekly via the scheduler 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python scheduler/job_runner.py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9D">
      <w:pPr>
        <w:shd w:fill="ffffff" w:val="clear"/>
        <w:spacing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hd w:fill="ffffff" w:val="clear"/>
        <w:spacing w:after="240" w:before="480" w:line="349.09090909090907" w:lineRule="auto"/>
        <w:ind w:left="660" w:right="660" w:firstLine="0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qm9k2sjko3me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10. Conclusion</w:t>
      </w:r>
    </w:p>
    <w:p w:rsidR="00000000" w:rsidDel="00000000" w:rsidP="00000000" w:rsidRDefault="00000000" w:rsidRPr="00000000" w14:paraId="0000009F">
      <w:pPr>
        <w:shd w:fill="ffffff" w:val="clear"/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The South Africa Public Procurement Intelligence System now delivers: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0" w:afterAutospacing="0" w:before="240" w:lineRule="auto"/>
        <w:ind w:left="1380" w:right="6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A robust contract‑value forecaster (R²=0.40) capable of helping suppliers make informed bid decisions.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Actionable opportunity scores to focus business development.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Automated anomaly flags to support governance.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240" w:before="0" w:beforeAutospacing="0" w:lineRule="auto"/>
        <w:ind w:left="1380" w:right="6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A professional dashboard, API, and Excel report generator ready for deployment.</w:t>
      </w:r>
    </w:p>
    <w:p w:rsidR="00000000" w:rsidDel="00000000" w:rsidP="00000000" w:rsidRDefault="00000000" w:rsidRPr="00000000" w14:paraId="000000A4">
      <w:pPr>
        <w:shd w:fill="ffffff" w:val="clear"/>
        <w:spacing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This project transforms raw procurement data into a strategic asset for suppliers, officials, and policy analysts.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