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1293E" w14:textId="77777777" w:rsidR="00AB47FE" w:rsidRPr="00AB47FE" w:rsidRDefault="00AB47FE" w:rsidP="00AB47FE">
      <w:pPr>
        <w:rPr>
          <w:b/>
          <w:bCs/>
        </w:rPr>
      </w:pPr>
      <w:r w:rsidRPr="00AB47FE">
        <w:rPr>
          <w:b/>
          <w:bCs/>
        </w:rPr>
        <w:t>Exploratory Data Analysis — Executive Summary</w:t>
      </w:r>
    </w:p>
    <w:p w14:paraId="1487FF2D" w14:textId="77777777" w:rsidR="00AB47FE" w:rsidRPr="00AB47FE" w:rsidRDefault="00AB47FE" w:rsidP="00AB47FE">
      <w:r w:rsidRPr="00AB47FE">
        <w:rPr>
          <w:b/>
          <w:bCs/>
        </w:rPr>
        <w:t>The Story the Data Tells</w:t>
      </w:r>
    </w:p>
    <w:p w14:paraId="4055180C" w14:textId="77777777" w:rsidR="00AB47FE" w:rsidRPr="00AB47FE" w:rsidRDefault="00AB47FE" w:rsidP="00AB47FE">
      <w:r w:rsidRPr="00AB47FE">
        <w:t xml:space="preserve">We analysed eight interrelated datasets from South Africa’s eTenders portal (OCDS format), covering approximately 43,000 tender records, 8,000+ awards, and over 1,000 contracts with a combined value exceeding R8 billion. Every visualisation was designed to answer critical intelligence questions for </w:t>
      </w:r>
      <w:r w:rsidRPr="00AB47FE">
        <w:rPr>
          <w:b/>
          <w:bCs/>
        </w:rPr>
        <w:t>suppliers</w:t>
      </w:r>
      <w:r w:rsidRPr="00AB47FE">
        <w:t xml:space="preserve">, </w:t>
      </w:r>
      <w:r w:rsidRPr="00AB47FE">
        <w:rPr>
          <w:b/>
          <w:bCs/>
        </w:rPr>
        <w:t>procurement officials</w:t>
      </w:r>
      <w:r w:rsidRPr="00AB47FE">
        <w:t xml:space="preserve">, and </w:t>
      </w:r>
      <w:r w:rsidRPr="00AB47FE">
        <w:rPr>
          <w:b/>
          <w:bCs/>
        </w:rPr>
        <w:t>policy analysts</w:t>
      </w:r>
      <w:r w:rsidRPr="00AB47FE">
        <w:t>.</w:t>
      </w:r>
    </w:p>
    <w:p w14:paraId="1B884EC4" w14:textId="77777777" w:rsidR="00AB47FE" w:rsidRPr="00AB47FE" w:rsidRDefault="00AB47FE" w:rsidP="00AB47FE">
      <w:r w:rsidRPr="00AB47FE">
        <w:t xml:space="preserve">What emerges is a procurement market that appears open and competitive on paper, yet reveals </w:t>
      </w:r>
      <w:r w:rsidRPr="00AB47FE">
        <w:rPr>
          <w:b/>
          <w:bCs/>
        </w:rPr>
        <w:t>extreme value concentration</w:t>
      </w:r>
      <w:r w:rsidRPr="00AB47FE">
        <w:t xml:space="preserve">, </w:t>
      </w:r>
      <w:r w:rsidRPr="00AB47FE">
        <w:rPr>
          <w:b/>
          <w:bCs/>
        </w:rPr>
        <w:t>strong geographic and seasonal patterns</w:t>
      </w:r>
      <w:r w:rsidRPr="00AB47FE">
        <w:t xml:space="preserve">, and </w:t>
      </w:r>
      <w:r w:rsidRPr="00AB47FE">
        <w:rPr>
          <w:b/>
          <w:bCs/>
        </w:rPr>
        <w:t>significant data anomalies</w:t>
      </w:r>
      <w:r w:rsidRPr="00AB47FE">
        <w:t xml:space="preserve"> beneath the surface.</w:t>
      </w:r>
    </w:p>
    <w:p w14:paraId="574276D7" w14:textId="77777777" w:rsidR="00AB47FE" w:rsidRPr="00AB47FE" w:rsidRDefault="00AB47FE" w:rsidP="00AB47FE">
      <w:r w:rsidRPr="00AB47FE">
        <w:pict w14:anchorId="6887D847">
          <v:rect id="_x0000_i1083" style="width:0;height:1.5pt" o:hralign="center" o:hrstd="t" o:hr="t" fillcolor="#a0a0a0" stroked="f"/>
        </w:pict>
      </w:r>
    </w:p>
    <w:p w14:paraId="2BD5F471" w14:textId="77777777" w:rsidR="00AB47FE" w:rsidRPr="00AB47FE" w:rsidRDefault="00AB47FE" w:rsidP="00AB47FE">
      <w:r w:rsidRPr="00AB47FE">
        <w:rPr>
          <w:b/>
          <w:bCs/>
        </w:rPr>
        <w:t xml:space="preserve">Chapter 1: The Market is Open </w:t>
      </w:r>
      <w:proofErr w:type="gramStart"/>
      <w:r w:rsidRPr="00AB47FE">
        <w:rPr>
          <w:b/>
          <w:bCs/>
        </w:rPr>
        <w:t>But</w:t>
      </w:r>
      <w:proofErr w:type="gramEnd"/>
      <w:r w:rsidRPr="00AB47FE">
        <w:rPr>
          <w:b/>
          <w:bCs/>
        </w:rPr>
        <w:t xml:space="preserve"> Not Equal</w:t>
      </w:r>
    </w:p>
    <w:p w14:paraId="4A0F60D3" w14:textId="77777777" w:rsidR="00AB47FE" w:rsidRPr="00AB47FE" w:rsidRDefault="00AB47FE" w:rsidP="00AB47FE">
      <w:r w:rsidRPr="00AB47FE">
        <w:t xml:space="preserve">Procurement Method Analysis shows that </w:t>
      </w:r>
      <w:r w:rsidRPr="00AB47FE">
        <w:rPr>
          <w:b/>
          <w:bCs/>
        </w:rPr>
        <w:t>over 98% of tenders</w:t>
      </w:r>
      <w:r w:rsidRPr="00AB47FE">
        <w:t xml:space="preserve"> are issued through open competitive bidding — suggesting a transparent and accessible system.</w:t>
      </w:r>
    </w:p>
    <w:p w14:paraId="4B026D52" w14:textId="77777777" w:rsidR="00AB47FE" w:rsidRPr="00AB47FE" w:rsidRDefault="00AB47FE" w:rsidP="00AB47FE">
      <w:r w:rsidRPr="00AB47FE">
        <w:t xml:space="preserve">However, the </w:t>
      </w:r>
      <w:r w:rsidRPr="00AB47FE">
        <w:rPr>
          <w:b/>
          <w:bCs/>
        </w:rPr>
        <w:t>Award Value Analysis</w:t>
      </w:r>
      <w:r w:rsidRPr="00AB47FE">
        <w:t xml:space="preserve"> immediately complicates this picture. The distribution is extremely </w:t>
      </w:r>
      <w:proofErr w:type="gramStart"/>
      <w:r w:rsidRPr="00AB47FE">
        <w:t>right-skewed</w:t>
      </w:r>
      <w:proofErr w:type="gramEnd"/>
      <w:r w:rsidRPr="00AB47FE">
        <w:t>:</w:t>
      </w:r>
    </w:p>
    <w:p w14:paraId="3728C77E" w14:textId="77777777" w:rsidR="00AB47FE" w:rsidRPr="00AB47FE" w:rsidRDefault="00AB47FE" w:rsidP="00AB47FE">
      <w:pPr>
        <w:numPr>
          <w:ilvl w:val="0"/>
          <w:numId w:val="1"/>
        </w:numPr>
      </w:pPr>
      <w:r w:rsidRPr="00AB47FE">
        <w:t xml:space="preserve">Median award value: </w:t>
      </w:r>
      <w:r w:rsidRPr="00AB47FE">
        <w:rPr>
          <w:b/>
          <w:bCs/>
        </w:rPr>
        <w:t>R1.49 million</w:t>
      </w:r>
    </w:p>
    <w:p w14:paraId="327A0B69" w14:textId="77777777" w:rsidR="00AB47FE" w:rsidRPr="00AB47FE" w:rsidRDefault="00AB47FE" w:rsidP="00AB47FE">
      <w:pPr>
        <w:numPr>
          <w:ilvl w:val="0"/>
          <w:numId w:val="1"/>
        </w:numPr>
      </w:pPr>
      <w:r w:rsidRPr="00AB47FE">
        <w:t xml:space="preserve">Mean award value: </w:t>
      </w:r>
      <w:r w:rsidRPr="00AB47FE">
        <w:rPr>
          <w:b/>
          <w:bCs/>
        </w:rPr>
        <w:t>R468 million</w:t>
      </w:r>
      <w:r w:rsidRPr="00AB47FE">
        <w:t xml:space="preserve"> (a </w:t>
      </w:r>
      <w:r w:rsidRPr="00AB47FE">
        <w:rPr>
          <w:b/>
          <w:bCs/>
        </w:rPr>
        <w:t>314× gap</w:t>
      </w:r>
      <w:r w:rsidRPr="00AB47FE">
        <w:t>)</w:t>
      </w:r>
    </w:p>
    <w:p w14:paraId="0F147E6F" w14:textId="77777777" w:rsidR="00AB47FE" w:rsidRPr="00AB47FE" w:rsidRDefault="00AB47FE" w:rsidP="00AB47FE">
      <w:pPr>
        <w:numPr>
          <w:ilvl w:val="0"/>
          <w:numId w:val="1"/>
        </w:numPr>
      </w:pPr>
      <w:r w:rsidRPr="00AB47FE">
        <w:t xml:space="preserve">~25% of award records have </w:t>
      </w:r>
      <w:r w:rsidRPr="00AB47FE">
        <w:rPr>
          <w:b/>
          <w:bCs/>
        </w:rPr>
        <w:t>R0 value</w:t>
      </w:r>
    </w:p>
    <w:p w14:paraId="20432026" w14:textId="77777777" w:rsidR="00AB47FE" w:rsidRPr="00AB47FE" w:rsidRDefault="00AB47FE" w:rsidP="00AB47FE">
      <w:pPr>
        <w:numPr>
          <w:ilvl w:val="0"/>
          <w:numId w:val="1"/>
        </w:numPr>
      </w:pPr>
      <w:r w:rsidRPr="00AB47FE">
        <w:t xml:space="preserve">Top 1% of awards begin at </w:t>
      </w:r>
      <w:r w:rsidRPr="00AB47FE">
        <w:rPr>
          <w:b/>
          <w:bCs/>
        </w:rPr>
        <w:t>R6.3 billion</w:t>
      </w:r>
    </w:p>
    <w:p w14:paraId="4A3511A5" w14:textId="77777777" w:rsidR="00AB47FE" w:rsidRPr="00AB47FE" w:rsidRDefault="00AB47FE" w:rsidP="00AB47FE">
      <w:r w:rsidRPr="00AB47FE">
        <w:t>This is one of the most extreme distributions seen in public procurement data. A small number of mega-contracts sit alongside thousands of modest or zero-value awards. The average value is therefore almost meaningless for practical decision-making.</w:t>
      </w:r>
    </w:p>
    <w:p w14:paraId="70F2B77D" w14:textId="77777777" w:rsidR="00AB47FE" w:rsidRPr="00AB47FE" w:rsidRDefault="00AB47FE" w:rsidP="00AB47FE">
      <w:r w:rsidRPr="00AB47FE">
        <w:rPr>
          <w:b/>
          <w:bCs/>
        </w:rPr>
        <w:t>Implication for the system:</w:t>
      </w:r>
      <w:r w:rsidRPr="00AB47FE">
        <w:t xml:space="preserve"> All value-based recommendations must be anchored to the </w:t>
      </w:r>
      <w:r w:rsidRPr="00AB47FE">
        <w:rPr>
          <w:b/>
          <w:bCs/>
        </w:rPr>
        <w:t>median</w:t>
      </w:r>
      <w:r w:rsidRPr="00AB47FE">
        <w:t xml:space="preserve"> and clearly flag reliability based on sample size.</w:t>
      </w:r>
    </w:p>
    <w:p w14:paraId="2A761A5E" w14:textId="77777777" w:rsidR="00AB47FE" w:rsidRPr="00AB47FE" w:rsidRDefault="00AB47FE" w:rsidP="00AB47FE">
      <w:r w:rsidRPr="00AB47FE">
        <w:pict w14:anchorId="3E810ECF">
          <v:rect id="_x0000_i1084" style="width:0;height:1.5pt" o:hralign="center" o:hrstd="t" o:hr="t" fillcolor="#a0a0a0" stroked="f"/>
        </w:pict>
      </w:r>
    </w:p>
    <w:p w14:paraId="0FDE479E" w14:textId="77777777" w:rsidR="00AB47FE" w:rsidRPr="00AB47FE" w:rsidRDefault="00AB47FE" w:rsidP="00AB47FE">
      <w:r w:rsidRPr="00AB47FE">
        <w:rPr>
          <w:b/>
          <w:bCs/>
        </w:rPr>
        <w:t>Chapter 2: Geography Determines Opportunity More Than Sector</w:t>
      </w:r>
    </w:p>
    <w:p w14:paraId="5D6E261A" w14:textId="77777777" w:rsidR="00AB47FE" w:rsidRPr="00AB47FE" w:rsidRDefault="00AB47FE" w:rsidP="00AB47FE">
      <w:r w:rsidRPr="00AB47FE">
        <w:lastRenderedPageBreak/>
        <w:t xml:space="preserve">Provincial analysis reveals that </w:t>
      </w:r>
      <w:r w:rsidRPr="00AB47FE">
        <w:rPr>
          <w:b/>
          <w:bCs/>
        </w:rPr>
        <w:t>tender volume is a poor proxy for real opportunity</w:t>
      </w:r>
      <w:r w:rsidRPr="00AB47FE">
        <w:t>.</w:t>
      </w:r>
    </w:p>
    <w:p w14:paraId="65B8AC01" w14:textId="77777777" w:rsidR="00AB47FE" w:rsidRPr="00AB47FE" w:rsidRDefault="00AB47FE" w:rsidP="00AB47FE">
      <w:pPr>
        <w:numPr>
          <w:ilvl w:val="0"/>
          <w:numId w:val="2"/>
        </w:numPr>
      </w:pPr>
      <w:r w:rsidRPr="00AB47FE">
        <w:t>Gauteng leads significantly in tender count but ranks near the bottom in total contract value and median award size.</w:t>
      </w:r>
    </w:p>
    <w:p w14:paraId="78AB862A" w14:textId="77777777" w:rsidR="00AB47FE" w:rsidRPr="00AB47FE" w:rsidRDefault="00AB47FE" w:rsidP="00AB47FE">
      <w:pPr>
        <w:numPr>
          <w:ilvl w:val="0"/>
          <w:numId w:val="2"/>
        </w:numPr>
      </w:pPr>
      <w:r w:rsidRPr="00AB47FE">
        <w:t>KwaZulu-Natal, despite lower volume, accounts for a disproportionately high share of total spend (especially in works/construction).</w:t>
      </w:r>
    </w:p>
    <w:p w14:paraId="6746F75C" w14:textId="77777777" w:rsidR="00AB47FE" w:rsidRPr="00AB47FE" w:rsidRDefault="00AB47FE" w:rsidP="00AB47FE">
      <w:pPr>
        <w:numPr>
          <w:ilvl w:val="0"/>
          <w:numId w:val="2"/>
        </w:numPr>
      </w:pPr>
      <w:r w:rsidRPr="00AB47FE">
        <w:t>Eastern Cape and Western Cape also show higher value-per-contract patterns.</w:t>
      </w:r>
    </w:p>
    <w:p w14:paraId="288C793D" w14:textId="77777777" w:rsidR="00AB47FE" w:rsidRPr="00AB47FE" w:rsidRDefault="00AB47FE" w:rsidP="00AB47FE">
      <w:r w:rsidRPr="00AB47FE">
        <w:t xml:space="preserve">The simplified correlation matrix confirms that </w:t>
      </w:r>
      <w:r w:rsidRPr="00AB47FE">
        <w:rPr>
          <w:b/>
          <w:bCs/>
        </w:rPr>
        <w:t>province and category are largely independent</w:t>
      </w:r>
      <w:r w:rsidRPr="00AB47FE">
        <w:t xml:space="preserve"> (very low correlation). This means suppliers can pursue high-value opportunities in other provinces without needing to shift sectors.</w:t>
      </w:r>
    </w:p>
    <w:p w14:paraId="3013D375" w14:textId="77777777" w:rsidR="00AB47FE" w:rsidRPr="00AB47FE" w:rsidRDefault="00AB47FE" w:rsidP="00AB47FE">
      <w:r w:rsidRPr="00AB47FE">
        <w:rPr>
          <w:b/>
          <w:bCs/>
        </w:rPr>
        <w:t>Key takeaway:</w:t>
      </w:r>
      <w:r w:rsidRPr="00AB47FE">
        <w:t xml:space="preserve"> Geographic targeting (province + quarter) is the highest-value intelligence this system can deliver.</w:t>
      </w:r>
    </w:p>
    <w:p w14:paraId="03A3EF1F" w14:textId="77777777" w:rsidR="00AB47FE" w:rsidRPr="00AB47FE" w:rsidRDefault="00AB47FE" w:rsidP="00AB47FE">
      <w:r w:rsidRPr="00AB47FE">
        <w:pict w14:anchorId="7821EE11">
          <v:rect id="_x0000_i1085" style="width:0;height:1.5pt" o:hralign="center" o:hrstd="t" o:hr="t" fillcolor="#a0a0a0" stroked="f"/>
        </w:pict>
      </w:r>
    </w:p>
    <w:p w14:paraId="431933E8" w14:textId="77777777" w:rsidR="00AB47FE" w:rsidRPr="00AB47FE" w:rsidRDefault="00AB47FE" w:rsidP="00AB47FE">
      <w:r w:rsidRPr="00AB47FE">
        <w:rPr>
          <w:b/>
          <w:bCs/>
        </w:rPr>
        <w:t>Chapter 3: Timing is Predictable and Exploitable</w:t>
      </w:r>
    </w:p>
    <w:p w14:paraId="38E9153C" w14:textId="77777777" w:rsidR="00AB47FE" w:rsidRPr="00AB47FE" w:rsidRDefault="00AB47FE" w:rsidP="00AB47FE">
      <w:r w:rsidRPr="00AB47FE">
        <w:t>Seasonality analysis shows clear, actionable patterns:</w:t>
      </w:r>
    </w:p>
    <w:p w14:paraId="60E08359" w14:textId="77777777" w:rsidR="00AB47FE" w:rsidRPr="00AB47FE" w:rsidRDefault="00AB47FE" w:rsidP="00AB47FE">
      <w:pPr>
        <w:numPr>
          <w:ilvl w:val="0"/>
          <w:numId w:val="3"/>
        </w:numPr>
      </w:pPr>
      <w:r w:rsidRPr="00AB47FE">
        <w:rPr>
          <w:b/>
          <w:bCs/>
        </w:rPr>
        <w:t>August</w:t>
      </w:r>
      <w:r w:rsidRPr="00AB47FE">
        <w:t xml:space="preserve"> is the peak month for tender issuance.</w:t>
      </w:r>
    </w:p>
    <w:p w14:paraId="201BE465" w14:textId="77777777" w:rsidR="00AB47FE" w:rsidRPr="00AB47FE" w:rsidRDefault="00AB47FE" w:rsidP="00AB47FE">
      <w:pPr>
        <w:numPr>
          <w:ilvl w:val="0"/>
          <w:numId w:val="3"/>
        </w:numPr>
      </w:pPr>
      <w:r w:rsidRPr="00AB47FE">
        <w:t>December and January are effectively dormant.</w:t>
      </w:r>
    </w:p>
    <w:p w14:paraId="6915C238" w14:textId="77777777" w:rsidR="00AB47FE" w:rsidRPr="00AB47FE" w:rsidRDefault="00AB47FE" w:rsidP="00AB47FE">
      <w:pPr>
        <w:numPr>
          <w:ilvl w:val="0"/>
          <w:numId w:val="3"/>
        </w:numPr>
      </w:pPr>
      <w:r w:rsidRPr="00AB47FE">
        <w:t>A sharp recovery occurs in February as new budgets are confirmed.</w:t>
      </w:r>
    </w:p>
    <w:p w14:paraId="02C8BBC9" w14:textId="77777777" w:rsidR="00AB47FE" w:rsidRPr="00AB47FE" w:rsidRDefault="00AB47FE" w:rsidP="00AB47FE">
      <w:pPr>
        <w:numPr>
          <w:ilvl w:val="0"/>
          <w:numId w:val="3"/>
        </w:numPr>
      </w:pPr>
      <w:r w:rsidRPr="00AB47FE">
        <w:t>An April dip reflects the South African financial year-end (31 March).</w:t>
      </w:r>
    </w:p>
    <w:p w14:paraId="69D8AE89" w14:textId="77777777" w:rsidR="00AB47FE" w:rsidRPr="00AB47FE" w:rsidRDefault="00AB47FE" w:rsidP="00AB47FE">
      <w:r w:rsidRPr="00AB47FE">
        <w:t xml:space="preserve">While tender counts are relatively even across quarters, </w:t>
      </w:r>
      <w:r w:rsidRPr="00AB47FE">
        <w:rPr>
          <w:b/>
          <w:bCs/>
        </w:rPr>
        <w:t>value concentration varies significantly</w:t>
      </w:r>
      <w:r w:rsidRPr="00AB47FE">
        <w:t xml:space="preserve"> by province and quarter (visible in provincial heatmaps). Each province has its own procurement rhythm within the national cycle.</w:t>
      </w:r>
    </w:p>
    <w:p w14:paraId="38ACB788" w14:textId="77777777" w:rsidR="00AB47FE" w:rsidRPr="00AB47FE" w:rsidRDefault="00AB47FE" w:rsidP="00AB47FE">
      <w:r w:rsidRPr="00AB47FE">
        <w:t>This supports precise, province-quarter-sector opportunity signals — exactly the type of intelligence described in the project goal.</w:t>
      </w:r>
    </w:p>
    <w:p w14:paraId="5509AD41" w14:textId="77777777" w:rsidR="00AB47FE" w:rsidRPr="00AB47FE" w:rsidRDefault="00AB47FE" w:rsidP="00AB47FE">
      <w:r w:rsidRPr="00AB47FE">
        <w:pict w14:anchorId="48B6FE55">
          <v:rect id="_x0000_i1086" style="width:0;height:1.5pt" o:hralign="center" o:hrstd="t" o:hr="t" fillcolor="#a0a0a0" stroked="f"/>
        </w:pict>
      </w:r>
    </w:p>
    <w:p w14:paraId="6F487013" w14:textId="77777777" w:rsidR="00AB47FE" w:rsidRPr="00AB47FE" w:rsidRDefault="00AB47FE" w:rsidP="00AB47FE">
      <w:r w:rsidRPr="00AB47FE">
        <w:rPr>
          <w:b/>
          <w:bCs/>
        </w:rPr>
        <w:t>Chapter 4: Supplier Concentration is a Governance Signal</w:t>
      </w:r>
    </w:p>
    <w:p w14:paraId="49008475" w14:textId="77777777" w:rsidR="00AB47FE" w:rsidRPr="00AB47FE" w:rsidRDefault="00AB47FE" w:rsidP="00AB47FE">
      <w:r w:rsidRPr="00AB47FE">
        <w:lastRenderedPageBreak/>
        <w:t>Supplier analysis highlights two distinct profiles:</w:t>
      </w:r>
    </w:p>
    <w:p w14:paraId="33E66A93" w14:textId="77777777" w:rsidR="00AB47FE" w:rsidRPr="00AB47FE" w:rsidRDefault="00AB47FE" w:rsidP="00AB47FE">
      <w:pPr>
        <w:numPr>
          <w:ilvl w:val="0"/>
          <w:numId w:val="4"/>
        </w:numPr>
      </w:pPr>
      <w:r w:rsidRPr="00AB47FE">
        <w:t>High-frequency suppliers with moderate values (often indicating specialization or established relationships).</w:t>
      </w:r>
    </w:p>
    <w:p w14:paraId="29935CB9" w14:textId="77777777" w:rsidR="00AB47FE" w:rsidRPr="00AB47FE" w:rsidRDefault="00AB47FE" w:rsidP="00AB47FE">
      <w:pPr>
        <w:numPr>
          <w:ilvl w:val="0"/>
          <w:numId w:val="4"/>
        </w:numPr>
      </w:pPr>
      <w:r w:rsidRPr="00AB47FE">
        <w:t>Low-frequency suppliers winning very large single awards.</w:t>
      </w:r>
    </w:p>
    <w:p w14:paraId="1558FE73" w14:textId="77777777" w:rsidR="00AB47FE" w:rsidRPr="00AB47FE" w:rsidRDefault="00AB47FE" w:rsidP="00AB47FE">
      <w:r w:rsidRPr="00AB47FE">
        <w:t xml:space="preserve">Restricted and limited tendering methods, despite representing &lt;2% of volume, frequently carry </w:t>
      </w:r>
      <w:r w:rsidRPr="00AB47FE">
        <w:rPr>
          <w:b/>
          <w:bCs/>
        </w:rPr>
        <w:t>higher average and median values</w:t>
      </w:r>
      <w:r w:rsidRPr="00AB47FE">
        <w:t xml:space="preserve"> than open tenders — a notable governance observation.</w:t>
      </w:r>
    </w:p>
    <w:p w14:paraId="12264212" w14:textId="77777777" w:rsidR="00AB47FE" w:rsidRPr="00AB47FE" w:rsidRDefault="00AB47FE" w:rsidP="00AB47FE">
      <w:r w:rsidRPr="00AB47FE">
        <w:rPr>
          <w:b/>
          <w:bCs/>
        </w:rPr>
        <w:t>Implication:</w:t>
      </w:r>
      <w:r w:rsidRPr="00AB47FE">
        <w:t xml:space="preserve"> Anomaly detection should prioritise:</w:t>
      </w:r>
    </w:p>
    <w:p w14:paraId="60C15A2B" w14:textId="77777777" w:rsidR="00AB47FE" w:rsidRPr="00AB47FE" w:rsidRDefault="00AB47FE" w:rsidP="00AB47FE">
      <w:pPr>
        <w:numPr>
          <w:ilvl w:val="0"/>
          <w:numId w:val="5"/>
        </w:numPr>
      </w:pPr>
      <w:r w:rsidRPr="00AB47FE">
        <w:t>Single large awards to suppliers with little or no prior history</w:t>
      </w:r>
    </w:p>
    <w:p w14:paraId="74AD1536" w14:textId="77777777" w:rsidR="00AB47FE" w:rsidRPr="00AB47FE" w:rsidRDefault="00AB47FE" w:rsidP="00AB47FE">
      <w:pPr>
        <w:numPr>
          <w:ilvl w:val="0"/>
          <w:numId w:val="5"/>
        </w:numPr>
      </w:pPr>
      <w:r w:rsidRPr="00AB47FE">
        <w:t>Restricted-method contracts with unusually high values</w:t>
      </w:r>
    </w:p>
    <w:p w14:paraId="2F13A08B" w14:textId="77777777" w:rsidR="00AB47FE" w:rsidRPr="00AB47FE" w:rsidRDefault="00AB47FE" w:rsidP="00AB47FE">
      <w:pPr>
        <w:numPr>
          <w:ilvl w:val="0"/>
          <w:numId w:val="5"/>
        </w:numPr>
      </w:pPr>
      <w:r w:rsidRPr="00AB47FE">
        <w:t>Unusual supplier concentration within specific categories</w:t>
      </w:r>
    </w:p>
    <w:p w14:paraId="1F02CBF1" w14:textId="77777777" w:rsidR="00AB47FE" w:rsidRPr="00AB47FE" w:rsidRDefault="00AB47FE" w:rsidP="00AB47FE">
      <w:r w:rsidRPr="00AB47FE">
        <w:pict w14:anchorId="2F47DBF8">
          <v:rect id="_x0000_i1087" style="width:0;height:1.5pt" o:hralign="center" o:hrstd="t" o:hr="t" fillcolor="#a0a0a0" stroked="f"/>
        </w:pict>
      </w:r>
    </w:p>
    <w:p w14:paraId="49568F0D" w14:textId="77777777" w:rsidR="00AB47FE" w:rsidRPr="00AB47FE" w:rsidRDefault="00AB47FE" w:rsidP="00AB47FE">
      <w:r w:rsidRPr="00AB47FE">
        <w:rPr>
          <w:b/>
          <w:bCs/>
        </w:rPr>
        <w:t>Chapter 5: Contract Structure Defines Cash Flow Reality</w:t>
      </w:r>
    </w:p>
    <w:p w14:paraId="18BACFE6" w14:textId="77777777" w:rsidR="00AB47FE" w:rsidRPr="00AB47FE" w:rsidRDefault="00AB47FE" w:rsidP="00AB47FE">
      <w:r w:rsidRPr="00AB47FE">
        <w:t xml:space="preserve">Contract Duration Analysis shows a </w:t>
      </w:r>
      <w:r w:rsidRPr="00AB47FE">
        <w:rPr>
          <w:b/>
          <w:bCs/>
        </w:rPr>
        <w:t>bimodal distribution</w:t>
      </w:r>
      <w:r w:rsidRPr="00AB47FE">
        <w:t>:</w:t>
      </w:r>
    </w:p>
    <w:p w14:paraId="51C66CCA" w14:textId="77777777" w:rsidR="00AB47FE" w:rsidRPr="00AB47FE" w:rsidRDefault="00AB47FE" w:rsidP="00AB47FE">
      <w:pPr>
        <w:numPr>
          <w:ilvl w:val="0"/>
          <w:numId w:val="6"/>
        </w:numPr>
      </w:pPr>
      <w:r w:rsidRPr="00AB47FE">
        <w:t>Dominant cluster: 2–</w:t>
      </w:r>
      <w:proofErr w:type="gramStart"/>
      <w:r w:rsidRPr="00AB47FE">
        <w:t>3 year</w:t>
      </w:r>
      <w:proofErr w:type="gramEnd"/>
      <w:r w:rsidRPr="00AB47FE">
        <w:t xml:space="preserve"> contracts</w:t>
      </w:r>
    </w:p>
    <w:p w14:paraId="4448711A" w14:textId="77777777" w:rsidR="00AB47FE" w:rsidRPr="00AB47FE" w:rsidRDefault="00AB47FE" w:rsidP="00AB47FE">
      <w:pPr>
        <w:numPr>
          <w:ilvl w:val="0"/>
          <w:numId w:val="6"/>
        </w:numPr>
      </w:pPr>
      <w:r w:rsidRPr="00AB47FE">
        <w:t>Secondary cluster: Very short contracts (&lt; 3 months)</w:t>
      </w:r>
    </w:p>
    <w:p w14:paraId="2A27C59E" w14:textId="77777777" w:rsidR="00AB47FE" w:rsidRPr="00AB47FE" w:rsidRDefault="00AB47FE" w:rsidP="00AB47FE">
      <w:r w:rsidRPr="00AB47FE">
        <w:t xml:space="preserve">Value does </w:t>
      </w:r>
      <w:r w:rsidRPr="00AB47FE">
        <w:rPr>
          <w:b/>
          <w:bCs/>
        </w:rPr>
        <w:t>not</w:t>
      </w:r>
      <w:r w:rsidRPr="00AB47FE">
        <w:t xml:space="preserve"> scale linearly with duration. High-value contracts appear across all duration bands, meaning suppliers cannot assume longer contracts automatically mean larger revenue.</w:t>
      </w:r>
    </w:p>
    <w:p w14:paraId="52D509B3" w14:textId="77777777" w:rsidR="00AB47FE" w:rsidRPr="00AB47FE" w:rsidRDefault="00AB47FE" w:rsidP="00AB47FE">
      <w:r w:rsidRPr="00AB47FE">
        <w:rPr>
          <w:b/>
          <w:bCs/>
        </w:rPr>
        <w:t>Recommendation:</w:t>
      </w:r>
      <w:r w:rsidRPr="00AB47FE">
        <w:t xml:space="preserve"> Bid strategy tools should incorporate duration context — directing capital-constrained suppliers toward short contracts and stability-seeking suppliers toward the 2–</w:t>
      </w:r>
      <w:proofErr w:type="gramStart"/>
      <w:r w:rsidRPr="00AB47FE">
        <w:t>3 year</w:t>
      </w:r>
      <w:proofErr w:type="gramEnd"/>
      <w:r w:rsidRPr="00AB47FE">
        <w:t xml:space="preserve"> band.</w:t>
      </w:r>
    </w:p>
    <w:p w14:paraId="51E206EC" w14:textId="77777777" w:rsidR="00AB47FE" w:rsidRPr="00AB47FE" w:rsidRDefault="00AB47FE" w:rsidP="00AB47FE">
      <w:r w:rsidRPr="00AB47FE">
        <w:pict w14:anchorId="72CE91CE">
          <v:rect id="_x0000_i1088" style="width:0;height:1.5pt" o:hralign="center" o:hrstd="t" o:hr="t" fillcolor="#a0a0a0" stroked="f"/>
        </w:pict>
      </w:r>
    </w:p>
    <w:p w14:paraId="67305EFA" w14:textId="77777777" w:rsidR="00AB47FE" w:rsidRPr="00AB47FE" w:rsidRDefault="00AB47FE" w:rsidP="00AB47FE">
      <w:r w:rsidRPr="00AB47FE">
        <w:rPr>
          <w:b/>
          <w:bCs/>
        </w:rPr>
        <w:t>Chapter 6: What the Correlation Matrix Confirmed</w:t>
      </w:r>
    </w:p>
    <w:p w14:paraId="45B89574" w14:textId="77777777" w:rsidR="00AB47FE" w:rsidRPr="00AB47FE" w:rsidRDefault="00AB47FE" w:rsidP="00AB47FE">
      <w:r w:rsidRPr="00AB47FE">
        <w:t xml:space="preserve">The final correlation matrix (using simplified categories) shows </w:t>
      </w:r>
      <w:r w:rsidRPr="00AB47FE">
        <w:rPr>
          <w:b/>
          <w:bCs/>
        </w:rPr>
        <w:t>no single strong predictor</w:t>
      </w:r>
      <w:r w:rsidRPr="00AB47FE">
        <w:t xml:space="preserve"> of contract value. The highest correlations with log(value) are modest, and month/quarter are highly collinear (as expected).</w:t>
      </w:r>
    </w:p>
    <w:p w14:paraId="554A6DEA" w14:textId="77777777" w:rsidR="00AB47FE" w:rsidRPr="00AB47FE" w:rsidRDefault="00AB47FE" w:rsidP="00AB47FE">
      <w:r w:rsidRPr="00AB47FE">
        <w:lastRenderedPageBreak/>
        <w:t xml:space="preserve">This is not a weakness — it is a finding. It confirms that accurate value forecasting requires </w:t>
      </w:r>
      <w:r w:rsidRPr="00AB47FE">
        <w:rPr>
          <w:b/>
          <w:bCs/>
        </w:rPr>
        <w:t>interaction features</w:t>
      </w:r>
      <w:r w:rsidRPr="00AB47FE">
        <w:t xml:space="preserve"> (province × quarter × sector) rather than simple linear effects. The visual insights from heatmaps and provincial analysis must be encoded as engineered features in the ML models.</w:t>
      </w:r>
    </w:p>
    <w:p w14:paraId="23677DA1" w14:textId="77777777" w:rsidR="00AB47FE" w:rsidRPr="00AB47FE" w:rsidRDefault="00AB47FE" w:rsidP="00AB47FE">
      <w:r w:rsidRPr="00AB47FE">
        <w:pict w14:anchorId="79BC8E6F">
          <v:rect id="_x0000_i1089" style="width:0;height:1.5pt" o:hralign="center" o:hrstd="t" o:hr="t" fillcolor="#a0a0a0" stroked="f"/>
        </w:pict>
      </w:r>
    </w:p>
    <w:p w14:paraId="544B583D" w14:textId="77777777" w:rsidR="00AB47FE" w:rsidRPr="00AB47FE" w:rsidRDefault="00AB47FE" w:rsidP="00AB47FE">
      <w:r w:rsidRPr="00AB47FE">
        <w:rPr>
          <w:b/>
          <w:bCs/>
        </w:rPr>
        <w:t>Way Forward: What the Intelligence System Must Now Deliver</w:t>
      </w:r>
    </w:p>
    <w:p w14:paraId="6984F253" w14:textId="77777777" w:rsidR="00AB47FE" w:rsidRPr="00AB47FE" w:rsidRDefault="00AB47FE" w:rsidP="00AB47FE">
      <w:r w:rsidRPr="00AB47FE">
        <w:t>The EDA has provided a solid empirical foundation. The system should now prioritise:</w:t>
      </w:r>
    </w:p>
    <w:p w14:paraId="2C515603" w14:textId="77777777" w:rsidR="00AB47FE" w:rsidRPr="00AB47FE" w:rsidRDefault="00AB47FE" w:rsidP="00AB47FE">
      <w:pPr>
        <w:numPr>
          <w:ilvl w:val="0"/>
          <w:numId w:val="7"/>
        </w:numPr>
      </w:pPr>
      <w:r w:rsidRPr="00AB47FE">
        <w:rPr>
          <w:b/>
          <w:bCs/>
        </w:rPr>
        <w:t>Province-quarter-sector opportunity matrix</w:t>
      </w:r>
      <w:r w:rsidRPr="00AB47FE">
        <w:t xml:space="preserve"> as the core recommendation engine (with KZN works in Q2 and similar high-confidence signals as priority outputs).</w:t>
      </w:r>
    </w:p>
    <w:p w14:paraId="475D6E3B" w14:textId="77777777" w:rsidR="00AB47FE" w:rsidRPr="00AB47FE" w:rsidRDefault="00AB47FE" w:rsidP="00AB47FE">
      <w:pPr>
        <w:numPr>
          <w:ilvl w:val="0"/>
          <w:numId w:val="7"/>
        </w:numPr>
      </w:pPr>
      <w:r w:rsidRPr="00AB47FE">
        <w:t xml:space="preserve">Anchor all value estimates to the </w:t>
      </w:r>
      <w:r w:rsidRPr="00AB47FE">
        <w:rPr>
          <w:b/>
          <w:bCs/>
        </w:rPr>
        <w:t>median</w:t>
      </w:r>
      <w:r w:rsidRPr="00AB47FE">
        <w:t>, with clear reliability flags when sample size is small.</w:t>
      </w:r>
    </w:p>
    <w:p w14:paraId="665AAFAA" w14:textId="77777777" w:rsidR="00AB47FE" w:rsidRPr="00AB47FE" w:rsidRDefault="00AB47FE" w:rsidP="00AB47FE">
      <w:pPr>
        <w:numPr>
          <w:ilvl w:val="0"/>
          <w:numId w:val="7"/>
        </w:numPr>
      </w:pPr>
      <w:r w:rsidRPr="00AB47FE">
        <w:t>Build anomaly detection focused on single large awards to new suppliers, restricted-method high-value contracts, and supplier concentration.</w:t>
      </w:r>
    </w:p>
    <w:p w14:paraId="4011EB9E" w14:textId="77777777" w:rsidR="00AB47FE" w:rsidRPr="00AB47FE" w:rsidRDefault="00AB47FE" w:rsidP="00AB47FE">
      <w:pPr>
        <w:numPr>
          <w:ilvl w:val="0"/>
          <w:numId w:val="7"/>
        </w:numPr>
      </w:pPr>
      <w:r w:rsidRPr="00AB47FE">
        <w:t xml:space="preserve">Use </w:t>
      </w:r>
      <w:r w:rsidRPr="00AB47FE">
        <w:rPr>
          <w:b/>
          <w:bCs/>
        </w:rPr>
        <w:t>log-transformed award value</w:t>
      </w:r>
      <w:r w:rsidRPr="00AB47FE">
        <w:t xml:space="preserve"> as the modelling target, with interaction terms (province × quarter × sector) as primary features.</w:t>
      </w:r>
    </w:p>
    <w:p w14:paraId="0A88E498" w14:textId="77777777" w:rsidR="00AB47FE" w:rsidRPr="00AB47FE" w:rsidRDefault="00AB47FE" w:rsidP="00AB47FE">
      <w:pPr>
        <w:numPr>
          <w:ilvl w:val="0"/>
          <w:numId w:val="7"/>
        </w:numPr>
      </w:pPr>
      <w:r w:rsidRPr="00AB47FE">
        <w:t>Treat Gauteng separately in supplier-facing outputs due to its anomalously low value-per-tender profile.</w:t>
      </w:r>
    </w:p>
    <w:p w14:paraId="40B646AD" w14:textId="77777777" w:rsidR="00AB47FE" w:rsidRPr="00AB47FE" w:rsidRDefault="00AB47FE" w:rsidP="00AB47FE">
      <w:r w:rsidRPr="00AB47FE">
        <w:t>The data is geographically concentrated, seasonally predictable, and highly skewed. This gives the Public Procurement Intelligence System a strong, evidence-based platform to generate genuinely actionable intelligence for all stakeholders.</w:t>
      </w:r>
    </w:p>
    <w:p w14:paraId="4C1FD755" w14:textId="77777777" w:rsidR="009F543D" w:rsidRDefault="009F543D"/>
    <w:sectPr w:rsidR="009F54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B0E62"/>
    <w:multiLevelType w:val="multilevel"/>
    <w:tmpl w:val="01964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314B6"/>
    <w:multiLevelType w:val="multilevel"/>
    <w:tmpl w:val="582E6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BC50DA"/>
    <w:multiLevelType w:val="multilevel"/>
    <w:tmpl w:val="110E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F383C"/>
    <w:multiLevelType w:val="multilevel"/>
    <w:tmpl w:val="44F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A769B9"/>
    <w:multiLevelType w:val="multilevel"/>
    <w:tmpl w:val="388E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85048"/>
    <w:multiLevelType w:val="multilevel"/>
    <w:tmpl w:val="5246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C0C21"/>
    <w:multiLevelType w:val="multilevel"/>
    <w:tmpl w:val="FC1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8125">
    <w:abstractNumId w:val="5"/>
  </w:num>
  <w:num w:numId="2" w16cid:durableId="2107533449">
    <w:abstractNumId w:val="3"/>
  </w:num>
  <w:num w:numId="3" w16cid:durableId="746148374">
    <w:abstractNumId w:val="0"/>
  </w:num>
  <w:num w:numId="4" w16cid:durableId="1680547149">
    <w:abstractNumId w:val="4"/>
  </w:num>
  <w:num w:numId="5" w16cid:durableId="1821461795">
    <w:abstractNumId w:val="2"/>
  </w:num>
  <w:num w:numId="6" w16cid:durableId="43452529">
    <w:abstractNumId w:val="6"/>
  </w:num>
  <w:num w:numId="7" w16cid:durableId="7848826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6D"/>
    <w:rsid w:val="0003294B"/>
    <w:rsid w:val="001A6CC4"/>
    <w:rsid w:val="005E6DB5"/>
    <w:rsid w:val="007767D6"/>
    <w:rsid w:val="007F0F83"/>
    <w:rsid w:val="00971602"/>
    <w:rsid w:val="009F543D"/>
    <w:rsid w:val="00AB47FE"/>
    <w:rsid w:val="00AE626D"/>
    <w:rsid w:val="00B5432B"/>
    <w:rsid w:val="00C46774"/>
    <w:rsid w:val="00CB3727"/>
    <w:rsid w:val="00D979B0"/>
    <w:rsid w:val="00EC1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D44EFF"/>
  <w15:chartTrackingRefBased/>
  <w15:docId w15:val="{C0CD8588-D3AF-41C5-9D33-F10FCB5FD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n-ZA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2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2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2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2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2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2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2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26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26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26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2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2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2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2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26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2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2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62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62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</Pages>
  <Words>875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KALOLO, SIHLE</dc:creator>
  <cp:keywords/>
  <dc:description/>
  <cp:lastModifiedBy>KALOLO, SIHLE</cp:lastModifiedBy>
  <cp:revision>3</cp:revision>
  <dcterms:created xsi:type="dcterms:W3CDTF">2026-04-15T10:41:00Z</dcterms:created>
  <dcterms:modified xsi:type="dcterms:W3CDTF">2026-04-16T12:42:00Z</dcterms:modified>
</cp:coreProperties>
</file>