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105C" w:rsidRPr="0042105C" w:rsidRDefault="0042105C" w:rsidP="0042105C">
      <w:pPr>
        <w:spacing w:before="100" w:beforeAutospacing="1" w:after="100" w:afterAutospacing="1" w:line="240" w:lineRule="auto"/>
        <w:jc w:val="center"/>
        <w:outlineLvl w:val="1"/>
        <w:rPr>
          <w:rFonts w:ascii="Arial" w:eastAsia="Times New Roman" w:hAnsi="Arial" w:cs="Arial"/>
          <w:b/>
          <w:bCs/>
          <w:kern w:val="0"/>
          <w:sz w:val="32"/>
          <w:szCs w:val="32"/>
          <w:lang w:val="en-GB"/>
          <w14:ligatures w14:val="none"/>
        </w:rPr>
      </w:pPr>
      <w:r w:rsidRPr="0042105C">
        <w:rPr>
          <w:rFonts w:ascii="Arial" w:eastAsia="Times New Roman" w:hAnsi="Arial" w:cs="Arial"/>
          <w:b/>
          <w:bCs/>
          <w:kern w:val="0"/>
          <w:sz w:val="32"/>
          <w:szCs w:val="32"/>
          <w:lang w:val="en-GB"/>
          <w14:ligatures w14:val="none"/>
        </w:rPr>
        <w:t>Child</w:t>
      </w:r>
      <w:r w:rsidRPr="0042105C">
        <w:rPr>
          <w:rFonts w:ascii="Arial" w:eastAsia="Times New Roman" w:hAnsi="Arial" w:cs="Arial"/>
          <w:b/>
          <w:bCs/>
          <w:kern w:val="0"/>
          <w:sz w:val="32"/>
          <w:szCs w:val="32"/>
          <w:lang w:val="en-GB"/>
          <w14:ligatures w14:val="none"/>
        </w:rPr>
        <w:noBreakHyphen/>
        <w:t xml:space="preserve">Specific DPIA </w:t>
      </w:r>
      <w:r w:rsidRPr="0042105C">
        <w:rPr>
          <w:rFonts w:ascii="Arial" w:eastAsia="Times New Roman" w:hAnsi="Arial" w:cs="Arial"/>
          <w:b/>
          <w:bCs/>
          <w:kern w:val="0"/>
          <w:sz w:val="32"/>
          <w:szCs w:val="32"/>
          <w:lang w:val="en-GB"/>
          <w14:ligatures w14:val="none"/>
        </w:rPr>
        <w:t>-</w:t>
      </w:r>
      <w:r w:rsidRPr="0042105C">
        <w:rPr>
          <w:rFonts w:ascii="Arial" w:eastAsia="Times New Roman" w:hAnsi="Arial" w:cs="Arial"/>
          <w:b/>
          <w:bCs/>
          <w:kern w:val="0"/>
          <w:sz w:val="32"/>
          <w:szCs w:val="32"/>
          <w:lang w:val="en-GB"/>
          <w14:ligatures w14:val="none"/>
        </w:rPr>
        <w:t xml:space="preserve"> LexiTutor AI Reading Companion</w:t>
      </w:r>
      <w:r w:rsidRPr="0042105C">
        <w:rPr>
          <w:rFonts w:ascii="Arial" w:eastAsia="Times New Roman" w:hAnsi="Arial" w:cs="Arial"/>
          <w:b/>
          <w:bCs/>
          <w:kern w:val="0"/>
          <w:sz w:val="32"/>
          <w:szCs w:val="32"/>
          <w:lang w:val="en-GB"/>
          <w14:ligatures w14:val="none"/>
        </w:rPr>
        <w:t xml:space="preserve"> (Modul</w:t>
      </w:r>
      <w:r>
        <w:rPr>
          <w:rFonts w:ascii="Arial" w:eastAsia="Times New Roman" w:hAnsi="Arial" w:cs="Arial"/>
          <w:b/>
          <w:bCs/>
          <w:kern w:val="0"/>
          <w:sz w:val="32"/>
          <w:szCs w:val="32"/>
          <w:lang w:val="en-GB"/>
          <w14:ligatures w14:val="none"/>
        </w:rPr>
        <w:t>e</w:t>
      </w:r>
      <w:r w:rsidRPr="0042105C">
        <w:rPr>
          <w:rFonts w:ascii="Arial" w:eastAsia="Times New Roman" w:hAnsi="Arial" w:cs="Arial"/>
          <w:b/>
          <w:bCs/>
          <w:kern w:val="0"/>
          <w:sz w:val="32"/>
          <w:szCs w:val="32"/>
          <w:lang w:val="en-GB"/>
          <w14:ligatures w14:val="none"/>
        </w:rPr>
        <w:t xml:space="preserve"> 3)</w:t>
      </w:r>
    </w:p>
    <w:p w:rsidR="0042105C" w:rsidRDefault="0042105C" w:rsidP="0042105C">
      <w:pPr>
        <w:spacing w:before="100" w:beforeAutospacing="1" w:after="100" w:afterAutospacing="1" w:line="240" w:lineRule="auto"/>
        <w:outlineLvl w:val="2"/>
        <w:rPr>
          <w:rFonts w:ascii="Arial" w:eastAsia="Times New Roman" w:hAnsi="Arial" w:cs="Arial"/>
          <w:b/>
          <w:bCs/>
          <w:kern w:val="0"/>
          <w:sz w:val="26"/>
          <w:szCs w:val="26"/>
          <w:lang w:val="en-GB"/>
          <w14:ligatures w14:val="none"/>
        </w:rPr>
      </w:pPr>
    </w:p>
    <w:p w:rsidR="0042105C" w:rsidRPr="0042105C" w:rsidRDefault="0042105C" w:rsidP="0042105C">
      <w:pPr>
        <w:spacing w:before="100" w:beforeAutospacing="1" w:after="100" w:afterAutospacing="1" w:line="240" w:lineRule="auto"/>
        <w:outlineLvl w:val="2"/>
        <w:rPr>
          <w:rFonts w:ascii="Arial" w:eastAsia="Times New Roman" w:hAnsi="Arial" w:cs="Arial"/>
          <w:b/>
          <w:bCs/>
          <w:kern w:val="0"/>
          <w:sz w:val="26"/>
          <w:szCs w:val="26"/>
          <w:lang w:val="en-GB"/>
          <w14:ligatures w14:val="none"/>
        </w:rPr>
      </w:pPr>
      <w:r w:rsidRPr="0042105C">
        <w:rPr>
          <w:rFonts w:ascii="Arial" w:eastAsia="Times New Roman" w:hAnsi="Arial" w:cs="Arial"/>
          <w:b/>
          <w:bCs/>
          <w:kern w:val="0"/>
          <w:sz w:val="26"/>
          <w:szCs w:val="26"/>
          <w:lang w:val="en-GB"/>
          <w14:ligatures w14:val="none"/>
        </w:rPr>
        <w:t>1. System Description &amp; Purpose</w:t>
      </w:r>
    </w:p>
    <w:p w:rsidR="0042105C" w:rsidRPr="0042105C" w:rsidRDefault="0042105C" w:rsidP="0042105C">
      <w:pPr>
        <w:spacing w:before="100" w:beforeAutospacing="1" w:after="100" w:afterAutospacing="1" w:line="276" w:lineRule="auto"/>
        <w:jc w:val="both"/>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LexiTutor</w:t>
      </w:r>
      <w:r w:rsidRPr="0042105C">
        <w:rPr>
          <w:rFonts w:ascii="Arial" w:eastAsia="Times New Roman" w:hAnsi="Arial" w:cs="Arial"/>
          <w:kern w:val="0"/>
          <w:lang w:val="en-GB"/>
          <w14:ligatures w14:val="none"/>
        </w:rPr>
        <w:t xml:space="preserve"> is an AI-powered reading companion used in Year 5 (ages 9–11), focused on multilingual classrooms. It records students reading aloud and provides feedback on pronunciation, pace, and tone. It flags students who may need extra reading support. Weekly reports are generated for teachers and parents. The system is optional within a one</w:t>
      </w:r>
      <w:r w:rsidRPr="0042105C">
        <w:rPr>
          <w:rFonts w:ascii="Arial" w:eastAsia="Times New Roman" w:hAnsi="Arial" w:cs="Arial"/>
          <w:kern w:val="0"/>
          <w:lang w:val="en-GB"/>
          <w14:ligatures w14:val="none"/>
        </w:rPr>
        <w:noBreakHyphen/>
        <w:t>classroom pilot involving students with and without special educational needs.</w:t>
      </w:r>
    </w:p>
    <w:p w:rsidR="0042105C" w:rsidRPr="0042105C" w:rsidRDefault="0042105C" w:rsidP="0042105C">
      <w:pPr>
        <w:spacing w:before="100" w:beforeAutospacing="1" w:after="100" w:afterAutospacing="1" w:line="240" w:lineRule="auto"/>
        <w:outlineLvl w:val="2"/>
        <w:rPr>
          <w:rFonts w:ascii="Arial" w:eastAsia="Times New Roman" w:hAnsi="Arial" w:cs="Arial"/>
          <w:b/>
          <w:bCs/>
          <w:kern w:val="0"/>
          <w:sz w:val="26"/>
          <w:szCs w:val="26"/>
          <w:lang w:val="en-GB"/>
          <w14:ligatures w14:val="none"/>
        </w:rPr>
      </w:pPr>
      <w:r w:rsidRPr="0042105C">
        <w:rPr>
          <w:rFonts w:ascii="Arial" w:eastAsia="Times New Roman" w:hAnsi="Arial" w:cs="Arial"/>
          <w:b/>
          <w:bCs/>
          <w:kern w:val="0"/>
          <w:sz w:val="26"/>
          <w:szCs w:val="26"/>
          <w:lang w:val="en-GB"/>
          <w14:ligatures w14:val="none"/>
        </w:rPr>
        <w:t>2. Data Mapping &amp; Legal Basis (GDPR Articles 6 &amp; 9)</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7"/>
        <w:gridCol w:w="2774"/>
        <w:gridCol w:w="1388"/>
        <w:gridCol w:w="2245"/>
      </w:tblGrid>
      <w:tr w:rsidR="0042105C" w:rsidRPr="0042105C" w:rsidTr="0042105C">
        <w:trPr>
          <w:tblHeader/>
          <w:tblCellSpacing w:w="15" w:type="dxa"/>
        </w:trPr>
        <w:tc>
          <w:tcPr>
            <w:tcW w:w="0" w:type="auto"/>
            <w:vAlign w:val="center"/>
            <w:hideMark/>
          </w:tcPr>
          <w:p w:rsidR="0042105C" w:rsidRPr="0042105C" w:rsidRDefault="0042105C" w:rsidP="0042105C">
            <w:pPr>
              <w:spacing w:after="0" w:line="276" w:lineRule="auto"/>
              <w:jc w:val="center"/>
              <w:rPr>
                <w:rFonts w:ascii="Arial" w:eastAsia="Times New Roman" w:hAnsi="Arial" w:cs="Arial"/>
                <w:b/>
                <w:bCs/>
                <w:kern w:val="0"/>
                <w:lang w:val="en-GB"/>
                <w14:ligatures w14:val="none"/>
              </w:rPr>
            </w:pPr>
            <w:r w:rsidRPr="0042105C">
              <w:rPr>
                <w:rFonts w:ascii="Arial" w:eastAsia="Times New Roman" w:hAnsi="Arial" w:cs="Arial"/>
                <w:b/>
                <w:bCs/>
                <w:kern w:val="0"/>
                <w:lang w:val="en-GB"/>
                <w14:ligatures w14:val="none"/>
              </w:rPr>
              <w:t>Data Category</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b/>
                <w:bCs/>
                <w:kern w:val="0"/>
                <w:lang w:val="en-GB"/>
                <w14:ligatures w14:val="none"/>
              </w:rPr>
            </w:pPr>
            <w:r w:rsidRPr="0042105C">
              <w:rPr>
                <w:rFonts w:ascii="Arial" w:eastAsia="Times New Roman" w:hAnsi="Arial" w:cs="Arial"/>
                <w:b/>
                <w:bCs/>
                <w:kern w:val="0"/>
                <w:lang w:val="en-GB"/>
                <w14:ligatures w14:val="none"/>
              </w:rPr>
              <w:t>Purpose</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b/>
                <w:bCs/>
                <w:kern w:val="0"/>
                <w:lang w:val="en-GB"/>
                <w14:ligatures w14:val="none"/>
              </w:rPr>
            </w:pPr>
            <w:r w:rsidRPr="0042105C">
              <w:rPr>
                <w:rFonts w:ascii="Arial" w:eastAsia="Times New Roman" w:hAnsi="Arial" w:cs="Arial"/>
                <w:b/>
                <w:bCs/>
                <w:kern w:val="0"/>
                <w:lang w:val="en-GB"/>
                <w14:ligatures w14:val="none"/>
              </w:rPr>
              <w:t>Legal Basis Article 6</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b/>
                <w:bCs/>
                <w:kern w:val="0"/>
                <w:lang w:val="en-GB"/>
                <w14:ligatures w14:val="none"/>
              </w:rPr>
            </w:pPr>
            <w:r w:rsidRPr="0042105C">
              <w:rPr>
                <w:rFonts w:ascii="Arial" w:eastAsia="Times New Roman" w:hAnsi="Arial" w:cs="Arial"/>
                <w:b/>
                <w:bCs/>
                <w:kern w:val="0"/>
                <w:lang w:val="en-GB"/>
                <w14:ligatures w14:val="none"/>
              </w:rPr>
              <w:t>Special Category (Art 9)?</w:t>
            </w:r>
          </w:p>
        </w:tc>
      </w:tr>
      <w:tr w:rsidR="0042105C" w:rsidRPr="0042105C" w:rsidTr="0042105C">
        <w:trPr>
          <w:tblCellSpacing w:w="15" w:type="dxa"/>
        </w:trPr>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Voice recordings</w:t>
            </w:r>
          </w:p>
        </w:tc>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Pronunciation feedback</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Public interest</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No</w:t>
            </w:r>
          </w:p>
        </w:tc>
      </w:tr>
      <w:tr w:rsidR="0042105C" w:rsidRPr="0042105C" w:rsidTr="0042105C">
        <w:trPr>
          <w:tblCellSpacing w:w="15" w:type="dxa"/>
        </w:trPr>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Reading pace, tone metadata</w:t>
            </w:r>
          </w:p>
        </w:tc>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Personalisation of feedback</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Public interest</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No</w:t>
            </w:r>
          </w:p>
        </w:tc>
      </w:tr>
      <w:tr w:rsidR="0042105C" w:rsidRPr="0042105C" w:rsidTr="0042105C">
        <w:trPr>
          <w:tblCellSpacing w:w="15" w:type="dxa"/>
        </w:trPr>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Flags for extra support</w:t>
            </w:r>
          </w:p>
        </w:tc>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Teacher intervention planning</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Public interest</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No</w:t>
            </w:r>
          </w:p>
        </w:tc>
      </w:tr>
      <w:tr w:rsidR="0042105C" w:rsidRPr="0042105C" w:rsidTr="0042105C">
        <w:trPr>
          <w:tblCellSpacing w:w="15" w:type="dxa"/>
        </w:trPr>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Special needs / SEN status</w:t>
            </w:r>
          </w:p>
        </w:tc>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Tailored recommendations</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Public interest</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Yes (health/disability)</w:t>
            </w:r>
          </w:p>
        </w:tc>
      </w:tr>
      <w:tr w:rsidR="0042105C" w:rsidRPr="0042105C" w:rsidTr="0042105C">
        <w:trPr>
          <w:tblCellSpacing w:w="15" w:type="dxa"/>
        </w:trPr>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Weekly progress reports to parents</w:t>
            </w:r>
          </w:p>
        </w:tc>
        <w:tc>
          <w:tcPr>
            <w:tcW w:w="0" w:type="auto"/>
            <w:vAlign w:val="center"/>
            <w:hideMark/>
          </w:tcPr>
          <w:p w:rsidR="0042105C" w:rsidRPr="0042105C" w:rsidRDefault="0042105C" w:rsidP="0042105C">
            <w:pPr>
              <w:spacing w:after="0"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Communication of support and progress</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Public interest</w:t>
            </w:r>
          </w:p>
        </w:tc>
        <w:tc>
          <w:tcPr>
            <w:tcW w:w="0" w:type="auto"/>
            <w:vAlign w:val="center"/>
            <w:hideMark/>
          </w:tcPr>
          <w:p w:rsidR="0042105C" w:rsidRPr="0042105C" w:rsidRDefault="0042105C" w:rsidP="0042105C">
            <w:pPr>
              <w:spacing w:after="0" w:line="276" w:lineRule="auto"/>
              <w:jc w:val="center"/>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No</w:t>
            </w:r>
          </w:p>
        </w:tc>
      </w:tr>
    </w:tbl>
    <w:p w:rsidR="0042105C" w:rsidRDefault="0042105C" w:rsidP="0042105C">
      <w:pPr>
        <w:spacing w:before="100" w:beforeAutospacing="1" w:after="100" w:afterAutospacing="1" w:line="240" w:lineRule="auto"/>
        <w:outlineLvl w:val="2"/>
        <w:rPr>
          <w:rFonts w:ascii="Arial" w:eastAsia="Times New Roman" w:hAnsi="Arial" w:cs="Arial"/>
          <w:b/>
          <w:bCs/>
          <w:kern w:val="0"/>
          <w:sz w:val="26"/>
          <w:szCs w:val="26"/>
          <w:lang w:val="en-GB"/>
          <w14:ligatures w14:val="none"/>
        </w:rPr>
      </w:pPr>
    </w:p>
    <w:p w:rsidR="0042105C" w:rsidRPr="0042105C" w:rsidRDefault="0042105C" w:rsidP="0042105C">
      <w:pPr>
        <w:spacing w:before="100" w:beforeAutospacing="1" w:after="100" w:afterAutospacing="1" w:line="240" w:lineRule="auto"/>
        <w:outlineLvl w:val="2"/>
        <w:rPr>
          <w:rFonts w:ascii="Arial" w:eastAsia="Times New Roman" w:hAnsi="Arial" w:cs="Arial"/>
          <w:b/>
          <w:bCs/>
          <w:kern w:val="0"/>
          <w:sz w:val="26"/>
          <w:szCs w:val="26"/>
          <w:lang w:val="en-GB"/>
          <w14:ligatures w14:val="none"/>
        </w:rPr>
      </w:pPr>
      <w:r w:rsidRPr="0042105C">
        <w:rPr>
          <w:rFonts w:ascii="Arial" w:eastAsia="Times New Roman" w:hAnsi="Arial" w:cs="Arial"/>
          <w:b/>
          <w:bCs/>
          <w:kern w:val="0"/>
          <w:sz w:val="26"/>
          <w:szCs w:val="26"/>
          <w:lang w:val="en-GB"/>
          <w14:ligatures w14:val="none"/>
        </w:rPr>
        <w:t>3. Risk Assessment</w:t>
      </w:r>
    </w:p>
    <w:p w:rsidR="0042105C" w:rsidRPr="0042105C" w:rsidRDefault="0042105C" w:rsidP="0042105C">
      <w:pPr>
        <w:spacing w:before="100" w:beforeAutospacing="1" w:after="100" w:afterAutospacing="1" w:line="240" w:lineRule="auto"/>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Privacy &amp; Surveillance Risk</w:t>
      </w:r>
    </w:p>
    <w:p w:rsidR="0042105C" w:rsidRPr="0042105C" w:rsidRDefault="0042105C" w:rsidP="0042105C">
      <w:pPr>
        <w:numPr>
          <w:ilvl w:val="0"/>
          <w:numId w:val="1"/>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Risk</w:t>
      </w:r>
      <w:r w:rsidRPr="0042105C">
        <w:rPr>
          <w:rFonts w:ascii="Arial" w:eastAsia="Times New Roman" w:hAnsi="Arial" w:cs="Arial"/>
          <w:kern w:val="0"/>
          <w:lang w:val="en-GB"/>
          <w14:ligatures w14:val="none"/>
        </w:rPr>
        <w:t>: Speech recordings may expose personal identity or sensitive attributes.</w:t>
      </w:r>
    </w:p>
    <w:p w:rsidR="0042105C" w:rsidRPr="0042105C" w:rsidRDefault="0042105C" w:rsidP="0042105C">
      <w:pPr>
        <w:numPr>
          <w:ilvl w:val="0"/>
          <w:numId w:val="1"/>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Likelihood</w:t>
      </w:r>
      <w:r w:rsidRPr="0042105C">
        <w:rPr>
          <w:rFonts w:ascii="Arial" w:eastAsia="Times New Roman" w:hAnsi="Arial" w:cs="Arial"/>
          <w:kern w:val="0"/>
          <w:lang w:val="en-GB"/>
          <w14:ligatures w14:val="none"/>
        </w:rPr>
        <w:t>: Medium</w:t>
      </w:r>
    </w:p>
    <w:p w:rsidR="0042105C" w:rsidRPr="0042105C" w:rsidRDefault="0042105C" w:rsidP="0042105C">
      <w:pPr>
        <w:numPr>
          <w:ilvl w:val="0"/>
          <w:numId w:val="1"/>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Severity</w:t>
      </w:r>
      <w:r w:rsidRPr="0042105C">
        <w:rPr>
          <w:rFonts w:ascii="Arial" w:eastAsia="Times New Roman" w:hAnsi="Arial" w:cs="Arial"/>
          <w:kern w:val="0"/>
          <w:lang w:val="en-GB"/>
          <w14:ligatures w14:val="none"/>
        </w:rPr>
        <w:t>: Medium</w:t>
      </w:r>
    </w:p>
    <w:p w:rsidR="0042105C" w:rsidRDefault="0042105C" w:rsidP="0042105C">
      <w:pPr>
        <w:spacing w:before="100" w:beforeAutospacing="1" w:after="100" w:afterAutospacing="1" w:line="240" w:lineRule="auto"/>
        <w:rPr>
          <w:rFonts w:ascii="Arial" w:eastAsia="Times New Roman" w:hAnsi="Arial" w:cs="Arial"/>
          <w:b/>
          <w:bCs/>
          <w:kern w:val="0"/>
          <w:lang w:val="en-GB"/>
          <w14:ligatures w14:val="none"/>
        </w:rPr>
      </w:pPr>
    </w:p>
    <w:p w:rsidR="0042105C" w:rsidRDefault="0042105C" w:rsidP="0042105C">
      <w:pPr>
        <w:spacing w:before="100" w:beforeAutospacing="1" w:after="100" w:afterAutospacing="1" w:line="240" w:lineRule="auto"/>
        <w:rPr>
          <w:rFonts w:ascii="Arial" w:eastAsia="Times New Roman" w:hAnsi="Arial" w:cs="Arial"/>
          <w:b/>
          <w:bCs/>
          <w:kern w:val="0"/>
          <w:lang w:val="en-GB"/>
          <w14:ligatures w14:val="none"/>
        </w:rPr>
      </w:pPr>
    </w:p>
    <w:p w:rsidR="0042105C" w:rsidRPr="0042105C" w:rsidRDefault="0042105C" w:rsidP="0042105C">
      <w:pPr>
        <w:spacing w:before="100" w:beforeAutospacing="1" w:after="100" w:afterAutospacing="1" w:line="240" w:lineRule="auto"/>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lastRenderedPageBreak/>
        <w:t>Fairness &amp; Bias Risk</w:t>
      </w:r>
    </w:p>
    <w:p w:rsidR="0042105C" w:rsidRPr="0042105C" w:rsidRDefault="0042105C" w:rsidP="0042105C">
      <w:pPr>
        <w:numPr>
          <w:ilvl w:val="0"/>
          <w:numId w:val="2"/>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Risk</w:t>
      </w:r>
      <w:r w:rsidRPr="0042105C">
        <w:rPr>
          <w:rFonts w:ascii="Arial" w:eastAsia="Times New Roman" w:hAnsi="Arial" w:cs="Arial"/>
          <w:kern w:val="0"/>
          <w:lang w:val="en-GB"/>
          <w14:ligatures w14:val="none"/>
        </w:rPr>
        <w:t>: AI may misinterpret accents or speech patterns from multilingual or neurodivergent students, leading to incorrect flags.</w:t>
      </w:r>
    </w:p>
    <w:p w:rsidR="0042105C" w:rsidRPr="0042105C" w:rsidRDefault="0042105C" w:rsidP="0042105C">
      <w:pPr>
        <w:numPr>
          <w:ilvl w:val="0"/>
          <w:numId w:val="2"/>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Likelihood</w:t>
      </w:r>
      <w:r w:rsidRPr="0042105C">
        <w:rPr>
          <w:rFonts w:ascii="Arial" w:eastAsia="Times New Roman" w:hAnsi="Arial" w:cs="Arial"/>
          <w:kern w:val="0"/>
          <w:lang w:val="en-GB"/>
          <w14:ligatures w14:val="none"/>
        </w:rPr>
        <w:t>: High</w:t>
      </w:r>
    </w:p>
    <w:p w:rsidR="0042105C" w:rsidRPr="0042105C" w:rsidRDefault="0042105C" w:rsidP="0042105C">
      <w:pPr>
        <w:numPr>
          <w:ilvl w:val="0"/>
          <w:numId w:val="2"/>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Severity</w:t>
      </w:r>
      <w:r w:rsidRPr="0042105C">
        <w:rPr>
          <w:rFonts w:ascii="Arial" w:eastAsia="Times New Roman" w:hAnsi="Arial" w:cs="Arial"/>
          <w:kern w:val="0"/>
          <w:lang w:val="en-GB"/>
          <w14:ligatures w14:val="none"/>
        </w:rPr>
        <w:t>: High</w:t>
      </w:r>
    </w:p>
    <w:p w:rsidR="0042105C" w:rsidRPr="0042105C" w:rsidRDefault="0042105C" w:rsidP="0042105C">
      <w:pPr>
        <w:spacing w:before="100" w:beforeAutospacing="1" w:after="100" w:afterAutospacing="1" w:line="240" w:lineRule="auto"/>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Child Rights &amp; Autonomy Risk</w:t>
      </w:r>
    </w:p>
    <w:p w:rsidR="0042105C" w:rsidRPr="0042105C" w:rsidRDefault="0042105C" w:rsidP="0042105C">
      <w:pPr>
        <w:numPr>
          <w:ilvl w:val="0"/>
          <w:numId w:val="3"/>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Risk</w:t>
      </w:r>
      <w:r w:rsidRPr="0042105C">
        <w:rPr>
          <w:rFonts w:ascii="Arial" w:eastAsia="Times New Roman" w:hAnsi="Arial" w:cs="Arial"/>
          <w:kern w:val="0"/>
          <w:lang w:val="en-GB"/>
          <w14:ligatures w14:val="none"/>
        </w:rPr>
        <w:t>: Students may not understand they are being recorded or evaluated by AI, affecting informed consent.</w:t>
      </w:r>
    </w:p>
    <w:p w:rsidR="0042105C" w:rsidRPr="0042105C" w:rsidRDefault="0042105C" w:rsidP="0042105C">
      <w:pPr>
        <w:numPr>
          <w:ilvl w:val="0"/>
          <w:numId w:val="3"/>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Likelihood</w:t>
      </w:r>
      <w:r w:rsidRPr="0042105C">
        <w:rPr>
          <w:rFonts w:ascii="Arial" w:eastAsia="Times New Roman" w:hAnsi="Arial" w:cs="Arial"/>
          <w:kern w:val="0"/>
          <w:lang w:val="en-GB"/>
          <w14:ligatures w14:val="none"/>
        </w:rPr>
        <w:t>: Medium</w:t>
      </w:r>
    </w:p>
    <w:p w:rsidR="0042105C" w:rsidRPr="0042105C" w:rsidRDefault="0042105C" w:rsidP="0042105C">
      <w:pPr>
        <w:numPr>
          <w:ilvl w:val="0"/>
          <w:numId w:val="3"/>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i/>
          <w:iCs/>
          <w:kern w:val="0"/>
          <w:lang w:val="en-GB"/>
          <w14:ligatures w14:val="none"/>
        </w:rPr>
        <w:t>Severity</w:t>
      </w:r>
      <w:r w:rsidRPr="0042105C">
        <w:rPr>
          <w:rFonts w:ascii="Arial" w:eastAsia="Times New Roman" w:hAnsi="Arial" w:cs="Arial"/>
          <w:kern w:val="0"/>
          <w:lang w:val="en-GB"/>
          <w14:ligatures w14:val="none"/>
        </w:rPr>
        <w:t>: Medium</w:t>
      </w:r>
    </w:p>
    <w:p w:rsidR="0042105C" w:rsidRDefault="0042105C" w:rsidP="0042105C">
      <w:pPr>
        <w:spacing w:before="100" w:beforeAutospacing="1" w:after="100" w:afterAutospacing="1" w:line="240" w:lineRule="auto"/>
        <w:outlineLvl w:val="2"/>
        <w:rPr>
          <w:rFonts w:ascii="Arial" w:eastAsia="Times New Roman" w:hAnsi="Arial" w:cs="Arial"/>
          <w:b/>
          <w:bCs/>
          <w:kern w:val="0"/>
          <w:sz w:val="26"/>
          <w:szCs w:val="26"/>
          <w:lang w:val="en-GB"/>
          <w14:ligatures w14:val="none"/>
        </w:rPr>
      </w:pPr>
    </w:p>
    <w:p w:rsidR="0042105C" w:rsidRPr="0042105C" w:rsidRDefault="0042105C" w:rsidP="0042105C">
      <w:pPr>
        <w:spacing w:before="100" w:beforeAutospacing="1" w:after="100" w:afterAutospacing="1" w:line="240" w:lineRule="auto"/>
        <w:outlineLvl w:val="2"/>
        <w:rPr>
          <w:rFonts w:ascii="Arial" w:eastAsia="Times New Roman" w:hAnsi="Arial" w:cs="Arial"/>
          <w:b/>
          <w:bCs/>
          <w:kern w:val="0"/>
          <w:sz w:val="26"/>
          <w:szCs w:val="26"/>
          <w:lang w:val="en-GB"/>
          <w14:ligatures w14:val="none"/>
        </w:rPr>
      </w:pPr>
      <w:r w:rsidRPr="0042105C">
        <w:rPr>
          <w:rFonts w:ascii="Arial" w:eastAsia="Times New Roman" w:hAnsi="Arial" w:cs="Arial"/>
          <w:b/>
          <w:bCs/>
          <w:kern w:val="0"/>
          <w:sz w:val="26"/>
          <w:szCs w:val="26"/>
          <w:lang w:val="en-GB"/>
          <w14:ligatures w14:val="none"/>
        </w:rPr>
        <w:t>4. Mitigation Measures (Technical &amp; Organisational)</w:t>
      </w:r>
    </w:p>
    <w:p w:rsidR="0042105C" w:rsidRPr="0042105C" w:rsidRDefault="0042105C" w:rsidP="0042105C">
      <w:p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Technical Safeguards</w:t>
      </w:r>
    </w:p>
    <w:p w:rsidR="0042105C" w:rsidRPr="0042105C" w:rsidRDefault="0042105C" w:rsidP="0042105C">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Voice data anonymised and pseudonymised immediately after analysis.</w:t>
      </w:r>
    </w:p>
    <w:p w:rsidR="0042105C" w:rsidRPr="0042105C" w:rsidRDefault="0042105C" w:rsidP="0042105C">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Secure encrypted storage within EU servers.</w:t>
      </w:r>
    </w:p>
    <w:p w:rsidR="0042105C" w:rsidRPr="0042105C" w:rsidRDefault="0042105C" w:rsidP="0042105C">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Automatic deletion of raw recordings after 30 days.</w:t>
      </w:r>
    </w:p>
    <w:p w:rsidR="0042105C" w:rsidRPr="0042105C" w:rsidRDefault="0042105C" w:rsidP="0042105C">
      <w:pPr>
        <w:numPr>
          <w:ilvl w:val="0"/>
          <w:numId w:val="4"/>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Accessibility features (language-neutral analysis, accent fairness).</w:t>
      </w:r>
    </w:p>
    <w:p w:rsidR="0042105C" w:rsidRPr="0042105C" w:rsidRDefault="0042105C" w:rsidP="0042105C">
      <w:p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Organisational Measures</w:t>
      </w:r>
    </w:p>
    <w:p w:rsidR="0042105C" w:rsidRPr="0042105C" w:rsidRDefault="0042105C" w:rsidP="0042105C">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Training for teachers on use of LexiTutor and recognition of false positives.</w:t>
      </w:r>
    </w:p>
    <w:p w:rsidR="0042105C" w:rsidRPr="0042105C" w:rsidRDefault="0042105C" w:rsidP="0042105C">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Age</w:t>
      </w:r>
      <w:r w:rsidRPr="0042105C">
        <w:rPr>
          <w:rFonts w:ascii="Arial" w:eastAsia="Times New Roman" w:hAnsi="Arial" w:cs="Arial"/>
          <w:kern w:val="0"/>
          <w:lang w:val="en-GB"/>
          <w14:ligatures w14:val="none"/>
        </w:rPr>
        <w:noBreakHyphen/>
        <w:t>appropriate briefing to students; consent forms for parents with plain</w:t>
      </w:r>
      <w:r w:rsidRPr="0042105C">
        <w:rPr>
          <w:rFonts w:ascii="Arial" w:eastAsia="Times New Roman" w:hAnsi="Arial" w:cs="Arial"/>
          <w:kern w:val="0"/>
          <w:lang w:val="en-GB"/>
          <w14:ligatures w14:val="none"/>
        </w:rPr>
        <w:noBreakHyphen/>
        <w:t>language overview.</w:t>
      </w:r>
    </w:p>
    <w:p w:rsidR="0042105C" w:rsidRPr="0042105C" w:rsidRDefault="0042105C" w:rsidP="0042105C">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Named oversight lead (Digital Safeguarding Officer) responsible for monitoring.</w:t>
      </w:r>
    </w:p>
    <w:p w:rsidR="0042105C" w:rsidRPr="0042105C" w:rsidRDefault="0042105C" w:rsidP="0042105C">
      <w:pPr>
        <w:numPr>
          <w:ilvl w:val="0"/>
          <w:numId w:val="5"/>
        </w:numPr>
        <w:spacing w:before="100" w:beforeAutospacing="1" w:after="100" w:afterAutospacing="1" w:line="276" w:lineRule="auto"/>
        <w:rPr>
          <w:rFonts w:ascii="Arial" w:eastAsia="Times New Roman" w:hAnsi="Arial" w:cs="Arial"/>
          <w:kern w:val="0"/>
          <w:lang w:val="en-GB"/>
          <w14:ligatures w14:val="none"/>
        </w:rPr>
      </w:pPr>
      <w:r w:rsidRPr="0042105C">
        <w:rPr>
          <w:rFonts w:ascii="Arial" w:eastAsia="Times New Roman" w:hAnsi="Arial" w:cs="Arial"/>
          <w:kern w:val="0"/>
          <w:lang w:val="en-GB"/>
          <w14:ligatures w14:val="none"/>
        </w:rPr>
        <w:t>Appeal/report mechanism: Teachers review flagged cases; parents can request review.</w:t>
      </w:r>
    </w:p>
    <w:p w:rsidR="0042105C" w:rsidRDefault="0042105C" w:rsidP="0042105C">
      <w:pPr>
        <w:spacing w:before="100" w:beforeAutospacing="1" w:after="100" w:afterAutospacing="1" w:line="240" w:lineRule="auto"/>
        <w:outlineLvl w:val="2"/>
        <w:rPr>
          <w:rFonts w:ascii="Arial" w:eastAsia="Times New Roman" w:hAnsi="Arial" w:cs="Arial"/>
          <w:b/>
          <w:bCs/>
          <w:kern w:val="0"/>
          <w:sz w:val="27"/>
          <w:szCs w:val="27"/>
          <w:lang w:val="en-GB"/>
          <w14:ligatures w14:val="none"/>
        </w:rPr>
      </w:pPr>
    </w:p>
    <w:p w:rsidR="0042105C" w:rsidRPr="0042105C" w:rsidRDefault="0042105C" w:rsidP="0042105C">
      <w:pPr>
        <w:spacing w:before="100" w:beforeAutospacing="1" w:after="100" w:afterAutospacing="1" w:line="240" w:lineRule="auto"/>
        <w:outlineLvl w:val="2"/>
        <w:rPr>
          <w:rFonts w:ascii="Arial" w:eastAsia="Times New Roman" w:hAnsi="Arial" w:cs="Arial"/>
          <w:b/>
          <w:bCs/>
          <w:kern w:val="0"/>
          <w:sz w:val="27"/>
          <w:szCs w:val="27"/>
          <w:lang w:val="en-GB"/>
          <w14:ligatures w14:val="none"/>
        </w:rPr>
      </w:pPr>
      <w:r w:rsidRPr="0042105C">
        <w:rPr>
          <w:rFonts w:ascii="Arial" w:eastAsia="Times New Roman" w:hAnsi="Arial" w:cs="Arial"/>
          <w:b/>
          <w:bCs/>
          <w:kern w:val="0"/>
          <w:sz w:val="27"/>
          <w:szCs w:val="27"/>
          <w:lang w:val="en-GB"/>
          <w14:ligatures w14:val="none"/>
        </w:rPr>
        <w:t>5. Residual Risk &amp; Go/No</w:t>
      </w:r>
      <w:r w:rsidRPr="0042105C">
        <w:rPr>
          <w:rFonts w:ascii="Arial" w:eastAsia="Times New Roman" w:hAnsi="Arial" w:cs="Arial"/>
          <w:b/>
          <w:bCs/>
          <w:kern w:val="0"/>
          <w:sz w:val="27"/>
          <w:szCs w:val="27"/>
          <w:lang w:val="en-GB"/>
          <w14:ligatures w14:val="none"/>
        </w:rPr>
        <w:noBreakHyphen/>
        <w:t>Go Decision</w:t>
      </w:r>
    </w:p>
    <w:p w:rsidR="0042105C" w:rsidRPr="0042105C" w:rsidRDefault="0042105C" w:rsidP="0042105C">
      <w:pPr>
        <w:spacing w:beforeAutospacing="1" w:after="100" w:afterAutospacing="1" w:line="276" w:lineRule="auto"/>
        <w:jc w:val="both"/>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Conclusion</w:t>
      </w:r>
      <w:r w:rsidRPr="0042105C">
        <w:rPr>
          <w:rFonts w:ascii="Arial" w:eastAsia="Times New Roman" w:hAnsi="Arial" w:cs="Arial"/>
          <w:kern w:val="0"/>
          <w:lang w:val="en-GB"/>
          <w14:ligatures w14:val="none"/>
        </w:rPr>
        <w:t xml:space="preserve">: With the above safeguards in place, the </w:t>
      </w:r>
      <w:r w:rsidRPr="0042105C">
        <w:rPr>
          <w:rFonts w:ascii="Arial" w:eastAsia="Times New Roman" w:hAnsi="Arial" w:cs="Arial"/>
          <w:b/>
          <w:bCs/>
          <w:kern w:val="0"/>
          <w:lang w:val="en-GB"/>
          <w14:ligatures w14:val="none"/>
        </w:rPr>
        <w:t>residual risk is considered acceptable</w:t>
      </w:r>
      <w:r w:rsidRPr="0042105C">
        <w:rPr>
          <w:rFonts w:ascii="Arial" w:eastAsia="Times New Roman" w:hAnsi="Arial" w:cs="Arial"/>
          <w:kern w:val="0"/>
          <w:lang w:val="en-GB"/>
          <w14:ligatures w14:val="none"/>
        </w:rPr>
        <w:t xml:space="preserve">. The system can proceed under </w:t>
      </w:r>
      <w:r w:rsidRPr="0042105C">
        <w:rPr>
          <w:rFonts w:ascii="Arial" w:eastAsia="Times New Roman" w:hAnsi="Arial" w:cs="Arial"/>
          <w:b/>
          <w:bCs/>
          <w:kern w:val="0"/>
          <w:lang w:val="en-GB"/>
          <w14:ligatures w14:val="none"/>
        </w:rPr>
        <w:t>strict pilot conditions</w:t>
      </w:r>
      <w:r w:rsidRPr="0042105C">
        <w:rPr>
          <w:rFonts w:ascii="Arial" w:eastAsia="Times New Roman" w:hAnsi="Arial" w:cs="Arial"/>
          <w:kern w:val="0"/>
          <w:lang w:val="en-GB"/>
          <w14:ligatures w14:val="none"/>
        </w:rPr>
        <w:t xml:space="preserve"> with follow-up evaluation. Annual DPIA review recommended before broader rollout.</w:t>
      </w:r>
    </w:p>
    <w:p w:rsidR="0042105C" w:rsidRDefault="0042105C" w:rsidP="0042105C">
      <w:pPr>
        <w:spacing w:before="100" w:beforeAutospacing="1" w:after="100" w:afterAutospacing="1" w:line="276" w:lineRule="auto"/>
        <w:jc w:val="both"/>
        <w:outlineLvl w:val="2"/>
        <w:rPr>
          <w:rFonts w:ascii="Arial" w:eastAsia="Times New Roman" w:hAnsi="Arial" w:cs="Arial"/>
          <w:b/>
          <w:bCs/>
          <w:kern w:val="0"/>
          <w:sz w:val="27"/>
          <w:szCs w:val="27"/>
          <w:lang w:val="en-GB"/>
          <w14:ligatures w14:val="none"/>
        </w:rPr>
      </w:pPr>
    </w:p>
    <w:p w:rsidR="0042105C" w:rsidRPr="0042105C" w:rsidRDefault="0042105C" w:rsidP="0042105C">
      <w:pPr>
        <w:spacing w:before="100" w:beforeAutospacing="1" w:after="100" w:afterAutospacing="1" w:line="240" w:lineRule="auto"/>
        <w:outlineLvl w:val="2"/>
        <w:rPr>
          <w:rFonts w:ascii="Arial" w:eastAsia="Times New Roman" w:hAnsi="Arial" w:cs="Arial"/>
          <w:b/>
          <w:bCs/>
          <w:kern w:val="0"/>
          <w:sz w:val="27"/>
          <w:szCs w:val="27"/>
          <w:lang w:val="en-GB"/>
          <w14:ligatures w14:val="none"/>
        </w:rPr>
      </w:pPr>
      <w:r w:rsidRPr="0042105C">
        <w:rPr>
          <w:rFonts w:ascii="Arial" w:eastAsia="Times New Roman" w:hAnsi="Arial" w:cs="Arial"/>
          <w:b/>
          <w:bCs/>
          <w:kern w:val="0"/>
          <w:sz w:val="27"/>
          <w:szCs w:val="27"/>
          <w:lang w:val="en-GB"/>
          <w14:ligatures w14:val="none"/>
        </w:rPr>
        <w:lastRenderedPageBreak/>
        <w:t>6. Stakeholder Feedback</w:t>
      </w:r>
    </w:p>
    <w:p w:rsidR="0042105C" w:rsidRPr="0042105C" w:rsidRDefault="0042105C" w:rsidP="0042105C">
      <w:pPr>
        <w:numPr>
          <w:ilvl w:val="0"/>
          <w:numId w:val="6"/>
        </w:numPr>
        <w:spacing w:before="100" w:beforeAutospacing="1" w:after="100" w:afterAutospacing="1" w:line="276" w:lineRule="auto"/>
        <w:jc w:val="both"/>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Parent Representatives</w:t>
      </w:r>
      <w:r w:rsidRPr="0042105C">
        <w:rPr>
          <w:rFonts w:ascii="Arial" w:eastAsia="Times New Roman" w:hAnsi="Arial" w:cs="Arial"/>
          <w:kern w:val="0"/>
          <w:lang w:val="en-GB"/>
          <w14:ligatures w14:val="none"/>
        </w:rPr>
        <w:t>: Expressed concern about storage duration and learning disability profiling. Mitigation includes clear opt-out and data retention policies.</w:t>
      </w:r>
    </w:p>
    <w:p w:rsidR="0042105C" w:rsidRPr="0042105C" w:rsidRDefault="0042105C" w:rsidP="0042105C">
      <w:pPr>
        <w:numPr>
          <w:ilvl w:val="0"/>
          <w:numId w:val="6"/>
        </w:numPr>
        <w:spacing w:before="100" w:beforeAutospacing="1" w:after="100" w:afterAutospacing="1" w:line="276" w:lineRule="auto"/>
        <w:jc w:val="both"/>
        <w:rPr>
          <w:rFonts w:ascii="Arial" w:eastAsia="Times New Roman" w:hAnsi="Arial" w:cs="Arial"/>
          <w:kern w:val="0"/>
          <w:lang w:val="en-GB"/>
          <w14:ligatures w14:val="none"/>
        </w:rPr>
      </w:pPr>
      <w:r w:rsidRPr="0042105C">
        <w:rPr>
          <w:rFonts w:ascii="Arial" w:eastAsia="Times New Roman" w:hAnsi="Arial" w:cs="Arial"/>
          <w:b/>
          <w:bCs/>
          <w:kern w:val="0"/>
          <w:lang w:val="en-GB"/>
          <w14:ligatures w14:val="none"/>
        </w:rPr>
        <w:t>Student Council</w:t>
      </w:r>
      <w:r w:rsidRPr="0042105C">
        <w:rPr>
          <w:rFonts w:ascii="Arial" w:eastAsia="Times New Roman" w:hAnsi="Arial" w:cs="Arial"/>
          <w:kern w:val="0"/>
          <w:lang w:val="en-GB"/>
          <w14:ligatures w14:val="none"/>
        </w:rPr>
        <w:t>: Highlighted desire for control over voice data; policy updated to include student-able request to delete individual recordings.</w:t>
      </w:r>
    </w:p>
    <w:p w:rsidR="00F62ACA" w:rsidRPr="0042105C" w:rsidRDefault="00F62ACA">
      <w:pPr>
        <w:rPr>
          <w:rFonts w:ascii="Arial" w:hAnsi="Arial" w:cs="Arial"/>
          <w:lang w:val="en-GB"/>
        </w:rPr>
      </w:pPr>
    </w:p>
    <w:sectPr w:rsidR="00F62ACA" w:rsidRPr="004210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854C3"/>
    <w:multiLevelType w:val="multilevel"/>
    <w:tmpl w:val="1564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54D28"/>
    <w:multiLevelType w:val="multilevel"/>
    <w:tmpl w:val="993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77513"/>
    <w:multiLevelType w:val="multilevel"/>
    <w:tmpl w:val="53D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046D"/>
    <w:multiLevelType w:val="multilevel"/>
    <w:tmpl w:val="0AD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46C84"/>
    <w:multiLevelType w:val="multilevel"/>
    <w:tmpl w:val="8972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818E6"/>
    <w:multiLevelType w:val="multilevel"/>
    <w:tmpl w:val="ED2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775409">
    <w:abstractNumId w:val="3"/>
  </w:num>
  <w:num w:numId="2" w16cid:durableId="583415842">
    <w:abstractNumId w:val="0"/>
  </w:num>
  <w:num w:numId="3" w16cid:durableId="2044669114">
    <w:abstractNumId w:val="2"/>
  </w:num>
  <w:num w:numId="4" w16cid:durableId="1377970951">
    <w:abstractNumId w:val="1"/>
  </w:num>
  <w:num w:numId="5" w16cid:durableId="159542256">
    <w:abstractNumId w:val="5"/>
  </w:num>
  <w:num w:numId="6" w16cid:durableId="2036806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5C"/>
    <w:rsid w:val="002A5161"/>
    <w:rsid w:val="0042105C"/>
    <w:rsid w:val="00782CC0"/>
    <w:rsid w:val="00B62B79"/>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8463"/>
  <w15:chartTrackingRefBased/>
  <w15:docId w15:val="{B5EC8D4D-21E1-AE48-A8F4-838D4014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0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210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2105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2105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2105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210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10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10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10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105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2105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2105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2105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2105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210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10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10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105C"/>
    <w:rPr>
      <w:rFonts w:eastAsiaTheme="majorEastAsia" w:cstheme="majorBidi"/>
      <w:color w:val="272727" w:themeColor="text1" w:themeTint="D8"/>
    </w:rPr>
  </w:style>
  <w:style w:type="paragraph" w:styleId="Ttulo">
    <w:name w:val="Title"/>
    <w:basedOn w:val="Normal"/>
    <w:next w:val="Normal"/>
    <w:link w:val="TtuloCar"/>
    <w:uiPriority w:val="10"/>
    <w:qFormat/>
    <w:rsid w:val="00421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0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10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10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105C"/>
    <w:pPr>
      <w:spacing w:before="160"/>
      <w:jc w:val="center"/>
    </w:pPr>
    <w:rPr>
      <w:i/>
      <w:iCs/>
      <w:color w:val="404040" w:themeColor="text1" w:themeTint="BF"/>
    </w:rPr>
  </w:style>
  <w:style w:type="character" w:customStyle="1" w:styleId="CitaCar">
    <w:name w:val="Cita Car"/>
    <w:basedOn w:val="Fuentedeprrafopredeter"/>
    <w:link w:val="Cita"/>
    <w:uiPriority w:val="29"/>
    <w:rsid w:val="0042105C"/>
    <w:rPr>
      <w:i/>
      <w:iCs/>
      <w:color w:val="404040" w:themeColor="text1" w:themeTint="BF"/>
    </w:rPr>
  </w:style>
  <w:style w:type="paragraph" w:styleId="Prrafodelista">
    <w:name w:val="List Paragraph"/>
    <w:basedOn w:val="Normal"/>
    <w:uiPriority w:val="34"/>
    <w:qFormat/>
    <w:rsid w:val="0042105C"/>
    <w:pPr>
      <w:ind w:left="720"/>
      <w:contextualSpacing/>
    </w:pPr>
  </w:style>
  <w:style w:type="character" w:styleId="nfasisintenso">
    <w:name w:val="Intense Emphasis"/>
    <w:basedOn w:val="Fuentedeprrafopredeter"/>
    <w:uiPriority w:val="21"/>
    <w:qFormat/>
    <w:rsid w:val="0042105C"/>
    <w:rPr>
      <w:i/>
      <w:iCs/>
      <w:color w:val="2F5496" w:themeColor="accent1" w:themeShade="BF"/>
    </w:rPr>
  </w:style>
  <w:style w:type="paragraph" w:styleId="Citadestacada">
    <w:name w:val="Intense Quote"/>
    <w:basedOn w:val="Normal"/>
    <w:next w:val="Normal"/>
    <w:link w:val="CitadestacadaCar"/>
    <w:uiPriority w:val="30"/>
    <w:qFormat/>
    <w:rsid w:val="004210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2105C"/>
    <w:rPr>
      <w:i/>
      <w:iCs/>
      <w:color w:val="2F5496" w:themeColor="accent1" w:themeShade="BF"/>
    </w:rPr>
  </w:style>
  <w:style w:type="character" w:styleId="Referenciaintensa">
    <w:name w:val="Intense Reference"/>
    <w:basedOn w:val="Fuentedeprrafopredeter"/>
    <w:uiPriority w:val="32"/>
    <w:qFormat/>
    <w:rsid w:val="0042105C"/>
    <w:rPr>
      <w:b/>
      <w:bCs/>
      <w:smallCaps/>
      <w:color w:val="2F5496" w:themeColor="accent1" w:themeShade="BF"/>
      <w:spacing w:val="5"/>
    </w:rPr>
  </w:style>
  <w:style w:type="paragraph" w:styleId="NormalWeb">
    <w:name w:val="Normal (Web)"/>
    <w:basedOn w:val="Normal"/>
    <w:uiPriority w:val="99"/>
    <w:semiHidden/>
    <w:unhideWhenUsed/>
    <w:rsid w:val="004210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42105C"/>
    <w:rPr>
      <w:b/>
      <w:bCs/>
    </w:rPr>
  </w:style>
  <w:style w:type="character" w:customStyle="1" w:styleId="relative">
    <w:name w:val="relative"/>
    <w:basedOn w:val="Fuentedeprrafopredeter"/>
    <w:rsid w:val="0042105C"/>
  </w:style>
  <w:style w:type="character" w:styleId="nfasis">
    <w:name w:val="Emphasis"/>
    <w:basedOn w:val="Fuentedeprrafopredeter"/>
    <w:uiPriority w:val="20"/>
    <w:qFormat/>
    <w:rsid w:val="004210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376437">
      <w:bodyDiv w:val="1"/>
      <w:marLeft w:val="0"/>
      <w:marRight w:val="0"/>
      <w:marTop w:val="0"/>
      <w:marBottom w:val="0"/>
      <w:divBdr>
        <w:top w:val="none" w:sz="0" w:space="0" w:color="auto"/>
        <w:left w:val="none" w:sz="0" w:space="0" w:color="auto"/>
        <w:bottom w:val="none" w:sz="0" w:space="0" w:color="auto"/>
        <w:right w:val="none" w:sz="0" w:space="0" w:color="auto"/>
      </w:divBdr>
      <w:divsChild>
        <w:div w:id="665866220">
          <w:marLeft w:val="0"/>
          <w:marRight w:val="0"/>
          <w:marTop w:val="0"/>
          <w:marBottom w:val="0"/>
          <w:divBdr>
            <w:top w:val="none" w:sz="0" w:space="0" w:color="auto"/>
            <w:left w:val="none" w:sz="0" w:space="0" w:color="auto"/>
            <w:bottom w:val="none" w:sz="0" w:space="0" w:color="auto"/>
            <w:right w:val="none" w:sz="0" w:space="0" w:color="auto"/>
          </w:divBdr>
          <w:divsChild>
            <w:div w:id="579759039">
              <w:marLeft w:val="0"/>
              <w:marRight w:val="0"/>
              <w:marTop w:val="0"/>
              <w:marBottom w:val="0"/>
              <w:divBdr>
                <w:top w:val="none" w:sz="0" w:space="0" w:color="auto"/>
                <w:left w:val="none" w:sz="0" w:space="0" w:color="auto"/>
                <w:bottom w:val="none" w:sz="0" w:space="0" w:color="auto"/>
                <w:right w:val="none" w:sz="0" w:space="0" w:color="auto"/>
              </w:divBdr>
            </w:div>
          </w:divsChild>
        </w:div>
        <w:div w:id="355928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2387</Characters>
  <Application>Microsoft Office Word</Application>
  <DocSecurity>0</DocSecurity>
  <Lines>19</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2</cp:revision>
  <dcterms:created xsi:type="dcterms:W3CDTF">2025-08-06T10:17:00Z</dcterms:created>
  <dcterms:modified xsi:type="dcterms:W3CDTF">2025-08-06T10:17:00Z</dcterms:modified>
</cp:coreProperties>
</file>