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3AD0" w:rsidRPr="00ED3AD0" w:rsidRDefault="00ED3AD0" w:rsidP="00ED3AD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Activity 5.6: Reviewing a Sample AI Contract</w:t>
      </w:r>
      <w:r w:rsidRPr="00ED3AD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 xml:space="preserve"> </w:t>
      </w:r>
    </w:p>
    <w:p w:rsidR="00ED3AD0" w:rsidRPr="00ED3AD0" w:rsidRDefault="00ED3AD0" w:rsidP="00ED3AD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(</w:t>
      </w:r>
      <w:r w:rsidRPr="00ED3AD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Module 5E</w:t>
      </w:r>
      <w:r w:rsidRPr="00ED3AD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)</w:t>
      </w:r>
    </w:p>
    <w:p w:rsidR="00ED3AD0" w:rsidRPr="00ED3AD0" w:rsidRDefault="00ED3AD0" w:rsidP="00ED3AD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ED3AD0" w:rsidRPr="00ED3AD0" w:rsidRDefault="00ED3AD0" w:rsidP="00ED3A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Name: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Maria-Antònia Guardiola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Programme: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AIGO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-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Certified AI Governance Officer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Module: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5E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-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Tools and Templates for AI Evaluation and Procurement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Activity: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5.6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-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Reviewing a Sample Contract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Tool Reviewed: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Sample Educational AI Software Contract (Generic)</w:t>
      </w:r>
    </w:p>
    <w:p w:rsidR="00ED3AD0" w:rsidRPr="00ED3AD0" w:rsidRDefault="00ED3AD0" w:rsidP="00ED3AD0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D3AD0" w:rsidRPr="00ED3AD0" w:rsidRDefault="00ED3AD0" w:rsidP="00ED3AD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Introduction</w:t>
      </w:r>
    </w:p>
    <w:p w:rsidR="00ED3AD0" w:rsidRPr="00ED3AD0" w:rsidRDefault="00ED3AD0" w:rsidP="00ED3AD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This exercise involved a detailed review of a sample contract for an AI educational software product, 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>analysed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using the </w:t>
      </w: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Contract Requirements Checklist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provided in Module 5E. The goal was to identify whether essential legal, ethical</w:t>
      </w:r>
      <w:r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>and practical clauses were present, and where improvements might be necessary. The checklist covered categories such as data protection, service levels, legal compliance, intellectual property</w:t>
      </w:r>
      <w:r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>and risk management.</w:t>
      </w:r>
    </w:p>
    <w:p w:rsidR="00ED3AD0" w:rsidRPr="00ED3AD0" w:rsidRDefault="00ED3AD0" w:rsidP="00ED3AD0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D3AD0" w:rsidRPr="00ED3AD0" w:rsidRDefault="00ED3AD0" w:rsidP="00ED3AD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Checklist Analysis Summary</w:t>
      </w:r>
    </w:p>
    <w:p w:rsidR="00ED3AD0" w:rsidRPr="00ED3AD0" w:rsidRDefault="00ED3AD0" w:rsidP="00ED3AD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1290"/>
        <w:gridCol w:w="4714"/>
      </w:tblGrid>
      <w:tr w:rsidR="00ED3AD0" w:rsidRPr="00ED3AD0" w:rsidTr="00ED3A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Checklist Category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Clause Present?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Notes &amp; Observations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Data Privacy &amp; Security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✅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contract includes a DPA reference and GDPR compliance language. Data breach reporting is set at 72 hours </w:t>
            </w: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recommend tightening to 48 hours.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Data Ownership &amp; Use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⚠️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States vendor will not “sell” student data but is vague about usage rights. Needs clarity on data retention post-contract.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Service Level Agreement (SLA)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❌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 specific uptime commitments or support response times. This is a significant omission.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Compliance with Laws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✅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Mentions GDPR and “all applicable laws,” but no reference to upcoming EU AI Act. Consider adding a clause anticipating regulatory changes.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lastRenderedPageBreak/>
              <w:t>Bias, Non-Discrimination &amp; Accessibility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❌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 language addressing bias testing, fairness or accessibility standards (e.g., WCAG). Recommend inserting equity-related obligations.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Intellectual Property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⚠️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Student data remains school property, but no mention of ownership over AI-generated outputs (e.g., lesson plans).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Indemnification &amp; Liability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⚠️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Vendor limits liability severely and offers no indemnity if their system leads to legal action. Needs review by legal counsel.</w:t>
            </w:r>
          </w:p>
        </w:tc>
      </w:tr>
      <w:tr w:rsidR="00ED3AD0" w:rsidRPr="00ED3AD0" w:rsidTr="00ED3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Termination &amp; Data Return/Deletion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✅</w:t>
            </w: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D3AD0" w:rsidRPr="00ED3AD0" w:rsidRDefault="00ED3AD0" w:rsidP="00ED3AD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D3AD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Vendor agrees to delete all customer data upon termination, with a 30-day confirmation period. Adequate but should include “certify deletion.”</w:t>
            </w:r>
          </w:p>
        </w:tc>
      </w:tr>
    </w:tbl>
    <w:p w:rsidR="00ED3AD0" w:rsidRPr="00ED3AD0" w:rsidRDefault="00ED3AD0" w:rsidP="00ED3AD0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D3AD0" w:rsidRPr="00ED3AD0" w:rsidRDefault="00ED3AD0" w:rsidP="00ED3AD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Key Issues Identified</w:t>
      </w:r>
    </w:p>
    <w:p w:rsidR="00ED3AD0" w:rsidRPr="00ED3AD0" w:rsidRDefault="00ED3AD0" w:rsidP="00ED3AD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Lack of SLA and Support Terms: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  <w:t>There is no definition of uptime, support channels, or availability expectations. For critical tools in education, this raises operational risk.</w:t>
      </w:r>
    </w:p>
    <w:p w:rsidR="00ED3AD0" w:rsidRPr="00ED3AD0" w:rsidRDefault="00ED3AD0" w:rsidP="00ED3AD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Mention of AI-Specific Risks or Obligations: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  <w:t>The contract does not reference algorithmic bias, transparency, human oversight</w:t>
      </w:r>
      <w:r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or model performance standards 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all central to EU AI Act alignment.</w:t>
      </w:r>
    </w:p>
    <w:p w:rsidR="00ED3AD0" w:rsidRPr="00ED3AD0" w:rsidRDefault="00ED3AD0" w:rsidP="00ED3AD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Insufficient Accessibility Guarantees: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  <w:t>No assurance that the tool meets basic accessibility guidelines (e.g., screen reader compatibility), which could lead to compliance issues.</w:t>
      </w:r>
    </w:p>
    <w:p w:rsidR="00ED3AD0" w:rsidRPr="00ED3AD0" w:rsidRDefault="00ED3AD0" w:rsidP="00ED3AD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Liability Terms Are Vendor-</w:t>
      </w: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Favouring</w:t>
      </w: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Liability caps are low, and the vendor disclaims responsibility for misuse or output errors. 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>These shifts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risk unfairly to the educational institution.</w:t>
      </w:r>
    </w:p>
    <w:p w:rsidR="00ED3AD0" w:rsidRPr="00ED3AD0" w:rsidRDefault="00ED3AD0" w:rsidP="00ED3AD0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D3AD0" w:rsidRPr="00ED3AD0" w:rsidRDefault="00ED3AD0" w:rsidP="00ED3AD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Recommendations</w:t>
      </w:r>
    </w:p>
    <w:p w:rsidR="00ED3AD0" w:rsidRPr="00ED3AD0" w:rsidRDefault="00ED3AD0" w:rsidP="00ED3AD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Negotiate SLA Terms: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Define acceptable uptime (e.g. 99.5%) and vendor response time (e.g., within 24 hours for critical issues).</w:t>
      </w:r>
    </w:p>
    <w:p w:rsidR="00ED3AD0" w:rsidRPr="00ED3AD0" w:rsidRDefault="00ED3AD0" w:rsidP="00ED3AD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Insert AI Compliance Clauses: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Add language requiring vendor to comply with EU AI Act Articles 13, 14, and 16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>24 (transparency, risk management, human oversight).</w:t>
      </w:r>
    </w:p>
    <w:p w:rsidR="00ED3AD0" w:rsidRPr="00ED3AD0" w:rsidRDefault="00ED3AD0" w:rsidP="00ED3AD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Add Equity and Accessibility Obligations: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Require vendor to conduct and provide results of bias audits, and ensure WCAG 2.1 AA compliance.</w:t>
      </w:r>
    </w:p>
    <w:p w:rsidR="00ED3AD0" w:rsidRPr="00ED3AD0" w:rsidRDefault="00ED3AD0" w:rsidP="00ED3AD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Clarify Data Usage: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Ensure vendor cannot use student data for training or other purposes unless explicitly agreed.</w:t>
      </w:r>
    </w:p>
    <w:p w:rsidR="00ED3AD0" w:rsidRPr="00ED3AD0" w:rsidRDefault="00ED3AD0" w:rsidP="00ED3AD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Address IP and Generated Content: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Confirm school retains rights to AI-generated outputs (e.g. student reports, teacher aids).</w:t>
      </w:r>
    </w:p>
    <w:p w:rsidR="00ED3AD0" w:rsidRPr="00ED3AD0" w:rsidRDefault="00ED3AD0" w:rsidP="00ED3AD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Re-negotiate Liability: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Push for a shared responsibility clause and vendor indemnification in cases of data breach or algorithmic harm.</w:t>
      </w:r>
    </w:p>
    <w:p w:rsidR="00ED3AD0" w:rsidRPr="00ED3AD0" w:rsidRDefault="00ED3AD0" w:rsidP="00ED3AD0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D3AD0" w:rsidRPr="00ED3AD0" w:rsidRDefault="00ED3AD0" w:rsidP="00ED3AD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ED3AD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Conclusion</w:t>
      </w:r>
    </w:p>
    <w:p w:rsidR="00ED3AD0" w:rsidRPr="00ED3AD0" w:rsidRDefault="00ED3AD0" w:rsidP="00ED3AD0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>This contract reflects a basic level of readiness for procurement but lacks many of the AI-specific safeguards, equity measures, and transparency expectations now emerging in responsible educational technology. Strengthening these areas through negotiation and legal review is essential to protect the institution, ensure complianc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e</w:t>
      </w:r>
      <w:r w:rsidRPr="00ED3AD0">
        <w:rPr>
          <w:rFonts w:ascii="Arial" w:eastAsia="Times New Roman" w:hAnsi="Arial" w:cs="Arial"/>
          <w:kern w:val="0"/>
          <w:lang w:val="en-GB"/>
          <w14:ligatures w14:val="none"/>
        </w:rPr>
        <w:t xml:space="preserve"> and support fair, safe use of AI in learning environments.</w:t>
      </w:r>
    </w:p>
    <w:p w:rsidR="00F62ACA" w:rsidRPr="00ED3AD0" w:rsidRDefault="00F62ACA">
      <w:pPr>
        <w:rPr>
          <w:rFonts w:ascii="Arial" w:hAnsi="Arial" w:cs="Arial"/>
          <w:lang w:val="en-GB"/>
        </w:rPr>
      </w:pPr>
    </w:p>
    <w:sectPr w:rsidR="00F62ACA" w:rsidRPr="00ED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C1FB4"/>
    <w:multiLevelType w:val="multilevel"/>
    <w:tmpl w:val="EE76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A3CCA"/>
    <w:multiLevelType w:val="multilevel"/>
    <w:tmpl w:val="9ED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37552">
    <w:abstractNumId w:val="0"/>
  </w:num>
  <w:num w:numId="2" w16cid:durableId="26720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D0"/>
    <w:rsid w:val="00225BA1"/>
    <w:rsid w:val="00782CC0"/>
    <w:rsid w:val="00B62B79"/>
    <w:rsid w:val="00ED3AD0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F9BF"/>
  <w15:chartTrackingRefBased/>
  <w15:docId w15:val="{1C10EC79-27E7-174F-B1AB-7CC5CCA4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D3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A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A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A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A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AD0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D3A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2025-08-07T15:58:00Z</dcterms:created>
  <dcterms:modified xsi:type="dcterms:W3CDTF">2025-08-07T16:08:00Z</dcterms:modified>
</cp:coreProperties>
</file>