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17AD" w:rsidRPr="001B17AD" w:rsidRDefault="00000000" w:rsidP="001B17AD">
      <w:pPr>
        <w:pStyle w:val="Sinespaciado"/>
        <w:spacing w:line="276" w:lineRule="auto"/>
        <w:jc w:val="center"/>
        <w:rPr>
          <w:rFonts w:ascii="Arial" w:hAnsi="Arial" w:cs="Arial"/>
          <w:b/>
          <w:bCs/>
          <w:sz w:val="28"/>
          <w:szCs w:val="28"/>
          <w:lang w:val="en-GB"/>
        </w:rPr>
      </w:pPr>
      <w:r w:rsidRPr="001B17AD">
        <w:rPr>
          <w:rFonts w:ascii="Arial" w:hAnsi="Arial" w:cs="Arial"/>
          <w:b/>
          <w:bCs/>
          <w:sz w:val="28"/>
          <w:szCs w:val="28"/>
          <w:lang w:val="en-GB"/>
        </w:rPr>
        <w:t>The Legal Foundations of Transparency</w:t>
      </w:r>
    </w:p>
    <w:p w:rsidR="00097663" w:rsidRPr="001B17AD" w:rsidRDefault="00000000" w:rsidP="001B17AD">
      <w:pPr>
        <w:pStyle w:val="Sinespaciado"/>
        <w:spacing w:line="276" w:lineRule="auto"/>
        <w:jc w:val="center"/>
        <w:rPr>
          <w:rFonts w:ascii="Arial" w:hAnsi="Arial" w:cs="Arial"/>
          <w:b/>
          <w:bCs/>
          <w:sz w:val="28"/>
          <w:szCs w:val="28"/>
          <w:lang w:val="en-GB"/>
        </w:rPr>
      </w:pPr>
      <w:r w:rsidRPr="001B17AD">
        <w:rPr>
          <w:rFonts w:ascii="Arial" w:hAnsi="Arial" w:cs="Arial"/>
          <w:b/>
          <w:bCs/>
          <w:sz w:val="28"/>
          <w:szCs w:val="28"/>
          <w:lang w:val="en-GB"/>
        </w:rPr>
        <w:t>Reflection Assignment</w:t>
      </w:r>
    </w:p>
    <w:p w:rsidR="001B17AD" w:rsidRPr="001B17AD" w:rsidRDefault="001B17AD" w:rsidP="001B17AD">
      <w:pPr>
        <w:pStyle w:val="Sinespaciado"/>
        <w:spacing w:line="276" w:lineRule="auto"/>
        <w:jc w:val="center"/>
        <w:rPr>
          <w:rFonts w:ascii="Arial" w:hAnsi="Arial" w:cs="Arial"/>
          <w:b/>
          <w:bCs/>
          <w:sz w:val="28"/>
          <w:szCs w:val="28"/>
          <w:lang w:val="en-GB"/>
        </w:rPr>
      </w:pPr>
      <w:r w:rsidRPr="001B17AD">
        <w:rPr>
          <w:rFonts w:ascii="Arial" w:hAnsi="Arial" w:cs="Arial"/>
          <w:b/>
          <w:bCs/>
          <w:sz w:val="28"/>
          <w:szCs w:val="28"/>
          <w:lang w:val="en-GB"/>
        </w:rPr>
        <w:t>(</w:t>
      </w:r>
      <w:r w:rsidRPr="001B17AD">
        <w:rPr>
          <w:rFonts w:ascii="Arial" w:hAnsi="Arial" w:cs="Arial"/>
          <w:b/>
          <w:bCs/>
          <w:sz w:val="28"/>
          <w:szCs w:val="28"/>
          <w:lang w:val="en-GB"/>
        </w:rPr>
        <w:t>Module 6A</w:t>
      </w:r>
      <w:r w:rsidRPr="001B17AD">
        <w:rPr>
          <w:rFonts w:ascii="Arial" w:hAnsi="Arial" w:cs="Arial"/>
          <w:b/>
          <w:bCs/>
          <w:sz w:val="28"/>
          <w:szCs w:val="28"/>
          <w:lang w:val="en-GB"/>
        </w:rPr>
        <w:t>)</w:t>
      </w:r>
    </w:p>
    <w:p w:rsidR="001B17AD" w:rsidRPr="001B17AD" w:rsidRDefault="00000000" w:rsidP="001B17AD">
      <w:pPr>
        <w:jc w:val="center"/>
        <w:rPr>
          <w:rFonts w:ascii="Arial" w:hAnsi="Arial" w:cs="Arial"/>
          <w:b/>
          <w:bCs/>
          <w:color w:val="000000" w:themeColor="text1"/>
          <w:sz w:val="26"/>
          <w:szCs w:val="26"/>
          <w:lang w:val="en-GB"/>
        </w:rPr>
      </w:pPr>
      <w:r w:rsidRPr="001B17AD">
        <w:rPr>
          <w:rFonts w:ascii="Arial" w:hAnsi="Arial" w:cs="Arial"/>
          <w:color w:val="000000" w:themeColor="text1"/>
          <w:lang w:val="en-GB"/>
        </w:rPr>
        <w:br/>
      </w:r>
    </w:p>
    <w:p w:rsidR="001B17AD" w:rsidRPr="001B17AD" w:rsidRDefault="00000000" w:rsidP="001B17AD">
      <w:pPr>
        <w:jc w:val="center"/>
        <w:rPr>
          <w:rFonts w:ascii="Arial" w:hAnsi="Arial" w:cs="Arial"/>
          <w:color w:val="000000" w:themeColor="text1"/>
          <w:lang w:val="en-GB"/>
        </w:rPr>
      </w:pPr>
      <w:r w:rsidRPr="001B17AD">
        <w:rPr>
          <w:rFonts w:ascii="Arial" w:hAnsi="Arial" w:cs="Arial"/>
          <w:b/>
          <w:bCs/>
          <w:color w:val="000000" w:themeColor="text1"/>
          <w:sz w:val="26"/>
          <w:szCs w:val="26"/>
          <w:lang w:val="en-GB"/>
        </w:rPr>
        <w:t>Reflection Checkpoint: Evaluating High-Risk AI Tools and Transparency Compliance</w:t>
      </w:r>
      <w:r w:rsidRPr="001B17AD">
        <w:rPr>
          <w:rFonts w:ascii="Arial" w:hAnsi="Arial" w:cs="Arial"/>
          <w:b/>
          <w:bCs/>
          <w:color w:val="000000" w:themeColor="text1"/>
          <w:sz w:val="26"/>
          <w:szCs w:val="26"/>
          <w:lang w:val="en-GB"/>
        </w:rPr>
        <w:br/>
      </w:r>
      <w:r w:rsidRPr="001B17AD">
        <w:rPr>
          <w:rFonts w:ascii="Arial" w:hAnsi="Arial" w:cs="Arial"/>
          <w:color w:val="000000" w:themeColor="text1"/>
          <w:lang w:val="en-GB"/>
        </w:rPr>
        <w:br/>
      </w:r>
    </w:p>
    <w:p w:rsidR="001B17AD" w:rsidRPr="001B17AD" w:rsidRDefault="00000000" w:rsidP="001B17AD">
      <w:pPr>
        <w:rPr>
          <w:rFonts w:ascii="Arial" w:hAnsi="Arial" w:cs="Arial"/>
          <w:color w:val="000000" w:themeColor="text1"/>
          <w:lang w:val="en-GB"/>
        </w:rPr>
      </w:pPr>
      <w:r w:rsidRPr="001B17AD">
        <w:rPr>
          <w:rFonts w:ascii="Arial" w:hAnsi="Arial" w:cs="Arial"/>
          <w:b/>
          <w:bCs/>
          <w:color w:val="000000" w:themeColor="text1"/>
          <w:sz w:val="26"/>
          <w:szCs w:val="26"/>
          <w:lang w:val="en-GB"/>
        </w:rPr>
        <w:t>AI Tool Selected:</w:t>
      </w:r>
      <w:r w:rsidRPr="001B17AD">
        <w:rPr>
          <w:rFonts w:ascii="Arial" w:hAnsi="Arial" w:cs="Arial"/>
          <w:color w:val="000000" w:themeColor="text1"/>
          <w:sz w:val="26"/>
          <w:szCs w:val="26"/>
          <w:lang w:val="en-GB"/>
        </w:rPr>
        <w:t xml:space="preserve"> </w:t>
      </w:r>
      <w:r w:rsidRPr="001B17AD">
        <w:rPr>
          <w:rFonts w:ascii="Arial" w:hAnsi="Arial" w:cs="Arial"/>
          <w:i/>
          <w:iCs/>
          <w:color w:val="000000" w:themeColor="text1"/>
          <w:sz w:val="26"/>
          <w:szCs w:val="26"/>
          <w:lang w:val="en-GB"/>
        </w:rPr>
        <w:t>MagicSchool AI</w:t>
      </w:r>
      <w:r w:rsidRPr="001B17AD">
        <w:rPr>
          <w:rFonts w:ascii="Arial" w:hAnsi="Arial" w:cs="Arial"/>
          <w:i/>
          <w:iCs/>
          <w:color w:val="000000" w:themeColor="text1"/>
          <w:sz w:val="26"/>
          <w:szCs w:val="26"/>
          <w:lang w:val="en-GB"/>
        </w:rPr>
        <w:br/>
      </w:r>
      <w:r w:rsidRPr="001B17AD">
        <w:rPr>
          <w:rFonts w:ascii="Arial" w:hAnsi="Arial" w:cs="Arial"/>
          <w:color w:val="000000" w:themeColor="text1"/>
          <w:lang w:val="en-GB"/>
        </w:rPr>
        <w:br/>
      </w:r>
      <w:r w:rsidRPr="001B17AD">
        <w:rPr>
          <w:rFonts w:ascii="Arial" w:hAnsi="Arial" w:cs="Arial"/>
          <w:b/>
          <w:bCs/>
          <w:color w:val="000000" w:themeColor="text1"/>
          <w:sz w:val="26"/>
          <w:szCs w:val="26"/>
          <w:lang w:val="en-GB"/>
        </w:rPr>
        <w:t>High-Risk Classification (Annex III 3(b), EU AI Act):</w:t>
      </w:r>
      <w:r w:rsidRPr="001B17AD">
        <w:rPr>
          <w:rFonts w:ascii="Arial" w:hAnsi="Arial" w:cs="Arial"/>
          <w:color w:val="000000" w:themeColor="text1"/>
          <w:sz w:val="26"/>
          <w:szCs w:val="26"/>
          <w:lang w:val="en-GB"/>
        </w:rPr>
        <w:br/>
      </w:r>
      <w:r w:rsidRPr="001B17AD">
        <w:rPr>
          <w:rFonts w:ascii="Arial" w:hAnsi="Arial" w:cs="Arial"/>
          <w:color w:val="000000" w:themeColor="text1"/>
          <w:sz w:val="24"/>
          <w:szCs w:val="24"/>
          <w:lang w:val="en-GB"/>
        </w:rPr>
        <w:t>MagicSchool AI is used in educational settings to assist with student learning, assessment feedback, and planning. As it can impact student evaluation and performance monitoring, it falls under Annex III 3(b) as a high-risk system.</w:t>
      </w:r>
      <w:r w:rsidRPr="001B17AD">
        <w:rPr>
          <w:rFonts w:ascii="Arial" w:hAnsi="Arial" w:cs="Arial"/>
          <w:color w:val="000000" w:themeColor="text1"/>
          <w:sz w:val="24"/>
          <w:szCs w:val="24"/>
          <w:lang w:val="en-GB"/>
        </w:rPr>
        <w:br/>
      </w:r>
      <w:r w:rsidRPr="001B17AD">
        <w:rPr>
          <w:rFonts w:ascii="Arial" w:hAnsi="Arial" w:cs="Arial"/>
          <w:color w:val="000000" w:themeColor="text1"/>
          <w:lang w:val="en-GB"/>
        </w:rPr>
        <w:br/>
      </w:r>
    </w:p>
    <w:p w:rsidR="001B17AD" w:rsidRDefault="00000000" w:rsidP="001B17AD">
      <w:pPr>
        <w:rPr>
          <w:rFonts w:ascii="Arial" w:hAnsi="Arial" w:cs="Arial"/>
          <w:b/>
          <w:bCs/>
          <w:color w:val="000000" w:themeColor="text1"/>
          <w:sz w:val="26"/>
          <w:szCs w:val="26"/>
          <w:lang w:val="en-GB"/>
        </w:rPr>
      </w:pPr>
      <w:r w:rsidRPr="001B17AD">
        <w:rPr>
          <w:rFonts w:ascii="Arial" w:hAnsi="Arial" w:cs="Arial"/>
          <w:b/>
          <w:bCs/>
          <w:color w:val="000000" w:themeColor="text1"/>
          <w:sz w:val="26"/>
          <w:szCs w:val="26"/>
          <w:lang w:val="en-GB"/>
        </w:rPr>
        <w:t>Article 13 Notice Requirements vs. Vendor Documentation:</w:t>
      </w:r>
      <w:r w:rsidRPr="001B17AD">
        <w:rPr>
          <w:rFonts w:ascii="Arial" w:hAnsi="Arial" w:cs="Arial"/>
          <w:b/>
          <w:bCs/>
          <w:color w:val="000000" w:themeColor="text1"/>
          <w:sz w:val="26"/>
          <w:szCs w:val="26"/>
          <w:lang w:val="en-GB"/>
        </w:rPr>
        <w:br/>
      </w:r>
    </w:p>
    <w:p w:rsidR="001B17AD" w:rsidRPr="001B17AD" w:rsidRDefault="001B17AD" w:rsidP="001B17AD">
      <w:pPr>
        <w:rPr>
          <w:rFonts w:ascii="Arial" w:hAnsi="Arial" w:cs="Arial"/>
          <w:b/>
          <w:bCs/>
          <w:color w:val="000000" w:themeColor="text1"/>
          <w:sz w:val="26"/>
          <w:szCs w:val="26"/>
          <w:lang w:val="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0"/>
        <w:gridCol w:w="3358"/>
        <w:gridCol w:w="3422"/>
      </w:tblGrid>
      <w:tr w:rsidR="001B17AD" w:rsidRPr="001B17AD" w:rsidTr="001B17AD">
        <w:trPr>
          <w:tblHeader/>
          <w:tblCellSpacing w:w="15" w:type="dxa"/>
        </w:trPr>
        <w:tc>
          <w:tcPr>
            <w:tcW w:w="0" w:type="auto"/>
            <w:vAlign w:val="center"/>
            <w:hideMark/>
          </w:tcPr>
          <w:p w:rsidR="001B17AD" w:rsidRPr="001B17AD" w:rsidRDefault="001B17AD" w:rsidP="001B17AD">
            <w:pPr>
              <w:spacing w:after="0"/>
              <w:jc w:val="center"/>
              <w:rPr>
                <w:rFonts w:ascii="Arial" w:eastAsia="Times New Roman" w:hAnsi="Arial" w:cs="Arial"/>
                <w:b/>
                <w:bCs/>
                <w:sz w:val="24"/>
                <w:szCs w:val="24"/>
                <w:lang w:val="en-GB" w:eastAsia="ja-JP"/>
              </w:rPr>
            </w:pPr>
            <w:r w:rsidRPr="001B17AD">
              <w:rPr>
                <w:rFonts w:ascii="Arial" w:eastAsia="Times New Roman" w:hAnsi="Arial" w:cs="Arial"/>
                <w:b/>
                <w:bCs/>
                <w:sz w:val="24"/>
                <w:szCs w:val="24"/>
                <w:lang w:val="en-GB" w:eastAsia="ja-JP"/>
              </w:rPr>
              <w:t>Requirement</w:t>
            </w:r>
          </w:p>
        </w:tc>
        <w:tc>
          <w:tcPr>
            <w:tcW w:w="0" w:type="auto"/>
            <w:vAlign w:val="center"/>
            <w:hideMark/>
          </w:tcPr>
          <w:p w:rsidR="001B17AD" w:rsidRPr="001B17AD" w:rsidRDefault="001B17AD" w:rsidP="001B17AD">
            <w:pPr>
              <w:spacing w:after="0"/>
              <w:jc w:val="center"/>
              <w:rPr>
                <w:rFonts w:ascii="Arial" w:eastAsia="Times New Roman" w:hAnsi="Arial" w:cs="Arial"/>
                <w:b/>
                <w:bCs/>
                <w:sz w:val="24"/>
                <w:szCs w:val="24"/>
                <w:lang w:val="en-GB" w:eastAsia="ja-JP"/>
              </w:rPr>
            </w:pPr>
            <w:r w:rsidRPr="001B17AD">
              <w:rPr>
                <w:rFonts w:ascii="Arial" w:eastAsia="Times New Roman" w:hAnsi="Arial" w:cs="Arial"/>
                <w:b/>
                <w:bCs/>
                <w:sz w:val="24"/>
                <w:szCs w:val="24"/>
                <w:lang w:val="en-GB" w:eastAsia="ja-JP"/>
              </w:rPr>
              <w:t>Status in Vendor Documentation (Module 5)</w:t>
            </w:r>
          </w:p>
        </w:tc>
        <w:tc>
          <w:tcPr>
            <w:tcW w:w="0" w:type="auto"/>
            <w:vAlign w:val="center"/>
            <w:hideMark/>
          </w:tcPr>
          <w:p w:rsidR="001B17AD" w:rsidRPr="001B17AD" w:rsidRDefault="001B17AD" w:rsidP="001B17AD">
            <w:pPr>
              <w:spacing w:after="0"/>
              <w:jc w:val="center"/>
              <w:rPr>
                <w:rFonts w:ascii="Arial" w:eastAsia="Times New Roman" w:hAnsi="Arial" w:cs="Arial"/>
                <w:b/>
                <w:bCs/>
                <w:sz w:val="24"/>
                <w:szCs w:val="24"/>
                <w:lang w:val="en-GB" w:eastAsia="ja-JP"/>
              </w:rPr>
            </w:pPr>
            <w:r w:rsidRPr="001B17AD">
              <w:rPr>
                <w:rFonts w:ascii="Arial" w:eastAsia="Times New Roman" w:hAnsi="Arial" w:cs="Arial"/>
                <w:b/>
                <w:bCs/>
                <w:sz w:val="24"/>
                <w:szCs w:val="24"/>
                <w:lang w:val="en-GB" w:eastAsia="ja-JP"/>
              </w:rPr>
              <w:t>Gap Analysis</w:t>
            </w:r>
          </w:p>
        </w:tc>
      </w:tr>
      <w:tr w:rsidR="001B17AD" w:rsidRPr="001B17AD" w:rsidTr="001B17AD">
        <w:trPr>
          <w:tblCellSpacing w:w="15" w:type="dxa"/>
        </w:trPr>
        <w:tc>
          <w:tcPr>
            <w:tcW w:w="0" w:type="auto"/>
            <w:vAlign w:val="center"/>
            <w:hideMark/>
          </w:tcPr>
          <w:p w:rsidR="001B17AD" w:rsidRPr="001B17AD" w:rsidRDefault="001B17AD" w:rsidP="001B17AD">
            <w:pPr>
              <w:spacing w:after="0"/>
              <w:jc w:val="center"/>
              <w:rPr>
                <w:rFonts w:ascii="Arial" w:eastAsia="Times New Roman" w:hAnsi="Arial" w:cs="Arial"/>
                <w:sz w:val="24"/>
                <w:szCs w:val="24"/>
                <w:lang w:val="en-GB" w:eastAsia="ja-JP"/>
              </w:rPr>
            </w:pPr>
            <w:r w:rsidRPr="001B17AD">
              <w:rPr>
                <w:rFonts w:ascii="Arial" w:eastAsia="Times New Roman" w:hAnsi="Arial" w:cs="Arial"/>
                <w:b/>
                <w:bCs/>
                <w:sz w:val="24"/>
                <w:szCs w:val="24"/>
                <w:lang w:val="en-GB" w:eastAsia="ja-JP"/>
              </w:rPr>
              <w:t>Purpose of the System</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Partially present. Stated as a teacher productivity and lesson design assistant.</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Needs clearer articulation of all educational use cases and boundaries.</w:t>
            </w:r>
          </w:p>
        </w:tc>
      </w:tr>
      <w:tr w:rsidR="001B17AD" w:rsidRPr="001B17AD" w:rsidTr="001B17AD">
        <w:trPr>
          <w:tblCellSpacing w:w="15" w:type="dxa"/>
        </w:trPr>
        <w:tc>
          <w:tcPr>
            <w:tcW w:w="0" w:type="auto"/>
            <w:vAlign w:val="center"/>
            <w:hideMark/>
          </w:tcPr>
          <w:p w:rsidR="001B17AD" w:rsidRPr="001B17AD" w:rsidRDefault="001B17AD" w:rsidP="001B17AD">
            <w:pPr>
              <w:spacing w:after="0"/>
              <w:jc w:val="center"/>
              <w:rPr>
                <w:rFonts w:ascii="Arial" w:eastAsia="Times New Roman" w:hAnsi="Arial" w:cs="Arial"/>
                <w:sz w:val="24"/>
                <w:szCs w:val="24"/>
                <w:lang w:val="en-GB" w:eastAsia="ja-JP"/>
              </w:rPr>
            </w:pPr>
            <w:r w:rsidRPr="001B17AD">
              <w:rPr>
                <w:rFonts w:ascii="Arial" w:eastAsia="Times New Roman" w:hAnsi="Arial" w:cs="Arial"/>
                <w:b/>
                <w:bCs/>
                <w:sz w:val="24"/>
                <w:szCs w:val="24"/>
                <w:lang w:val="en-GB" w:eastAsia="ja-JP"/>
              </w:rPr>
              <w:t>Logic and Functionality</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Broadly described (uses large language models). No detailed logic flow or technical documentation shared.</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Significant gap. Vendor should provide a simplified model card or technical explanation suitable for educators.</w:t>
            </w:r>
          </w:p>
        </w:tc>
      </w:tr>
      <w:tr w:rsidR="001B17AD" w:rsidRPr="001B17AD" w:rsidTr="001B17AD">
        <w:trPr>
          <w:tblCellSpacing w:w="15" w:type="dxa"/>
        </w:trPr>
        <w:tc>
          <w:tcPr>
            <w:tcW w:w="0" w:type="auto"/>
            <w:vAlign w:val="center"/>
            <w:hideMark/>
          </w:tcPr>
          <w:p w:rsidR="001B17AD" w:rsidRPr="001B17AD" w:rsidRDefault="001B17AD" w:rsidP="001B17AD">
            <w:pPr>
              <w:spacing w:after="0"/>
              <w:jc w:val="center"/>
              <w:rPr>
                <w:rFonts w:ascii="Arial" w:eastAsia="Times New Roman" w:hAnsi="Arial" w:cs="Arial"/>
                <w:sz w:val="24"/>
                <w:szCs w:val="24"/>
                <w:lang w:val="en-GB" w:eastAsia="ja-JP"/>
              </w:rPr>
            </w:pPr>
            <w:r w:rsidRPr="001B17AD">
              <w:rPr>
                <w:rFonts w:ascii="Arial" w:eastAsia="Times New Roman" w:hAnsi="Arial" w:cs="Arial"/>
                <w:b/>
                <w:bCs/>
                <w:sz w:val="24"/>
                <w:szCs w:val="24"/>
                <w:lang w:val="en-GB" w:eastAsia="ja-JP"/>
              </w:rPr>
              <w:t>Performance Limits</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Not clearly stated. No formal documentation of accuracy, limitations, or scope of validity.</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Major gap. Should include disclaimers on areas of unreliability or where human oversight is essential.</w:t>
            </w:r>
          </w:p>
        </w:tc>
      </w:tr>
      <w:tr w:rsidR="001B17AD" w:rsidRPr="001B17AD" w:rsidTr="001B17AD">
        <w:trPr>
          <w:tblCellSpacing w:w="15" w:type="dxa"/>
        </w:trPr>
        <w:tc>
          <w:tcPr>
            <w:tcW w:w="0" w:type="auto"/>
            <w:vAlign w:val="center"/>
            <w:hideMark/>
          </w:tcPr>
          <w:p w:rsidR="001B17AD" w:rsidRPr="001B17AD" w:rsidRDefault="001B17AD" w:rsidP="001B17AD">
            <w:pPr>
              <w:spacing w:after="0"/>
              <w:jc w:val="center"/>
              <w:rPr>
                <w:rFonts w:ascii="Arial" w:eastAsia="Times New Roman" w:hAnsi="Arial" w:cs="Arial"/>
                <w:sz w:val="24"/>
                <w:szCs w:val="24"/>
                <w:lang w:val="en-GB" w:eastAsia="ja-JP"/>
              </w:rPr>
            </w:pPr>
            <w:r w:rsidRPr="001B17AD">
              <w:rPr>
                <w:rFonts w:ascii="Arial" w:eastAsia="Times New Roman" w:hAnsi="Arial" w:cs="Arial"/>
                <w:b/>
                <w:bCs/>
                <w:sz w:val="24"/>
                <w:szCs w:val="24"/>
                <w:lang w:val="en-GB" w:eastAsia="ja-JP"/>
              </w:rPr>
              <w:lastRenderedPageBreak/>
              <w:t>Foreseeable Risks</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No risks are described in marketing or support documentation.</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Complete gap. Vendor should outline potential misuse risks or bias concerns.</w:t>
            </w:r>
          </w:p>
        </w:tc>
      </w:tr>
      <w:tr w:rsidR="001B17AD" w:rsidRPr="001B17AD" w:rsidTr="001B17AD">
        <w:trPr>
          <w:tblCellSpacing w:w="15" w:type="dxa"/>
        </w:trPr>
        <w:tc>
          <w:tcPr>
            <w:tcW w:w="0" w:type="auto"/>
            <w:vAlign w:val="center"/>
            <w:hideMark/>
          </w:tcPr>
          <w:p w:rsidR="001B17AD" w:rsidRPr="001B17AD" w:rsidRDefault="001B17AD" w:rsidP="001B17AD">
            <w:pPr>
              <w:spacing w:after="0"/>
              <w:jc w:val="center"/>
              <w:rPr>
                <w:rFonts w:ascii="Arial" w:eastAsia="Times New Roman" w:hAnsi="Arial" w:cs="Arial"/>
                <w:sz w:val="24"/>
                <w:szCs w:val="24"/>
                <w:lang w:val="en-GB" w:eastAsia="ja-JP"/>
              </w:rPr>
            </w:pPr>
            <w:r w:rsidRPr="001B17AD">
              <w:rPr>
                <w:rFonts w:ascii="Arial" w:eastAsia="Times New Roman" w:hAnsi="Arial" w:cs="Arial"/>
                <w:b/>
                <w:bCs/>
                <w:sz w:val="24"/>
                <w:szCs w:val="24"/>
                <w:lang w:val="en-GB" w:eastAsia="ja-JP"/>
              </w:rPr>
              <w:t>Data Sources Used</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General claim of using proprietary and public education datasets. No specifics.</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Requires clarification. The data sources should be clearly identified and their relevance explained.</w:t>
            </w:r>
          </w:p>
        </w:tc>
      </w:tr>
      <w:tr w:rsidR="001B17AD" w:rsidRPr="001B17AD" w:rsidTr="001B17AD">
        <w:trPr>
          <w:tblCellSpacing w:w="15" w:type="dxa"/>
        </w:trPr>
        <w:tc>
          <w:tcPr>
            <w:tcW w:w="0" w:type="auto"/>
            <w:vAlign w:val="center"/>
            <w:hideMark/>
          </w:tcPr>
          <w:p w:rsidR="001B17AD" w:rsidRPr="001B17AD" w:rsidRDefault="001B17AD" w:rsidP="001B17AD">
            <w:pPr>
              <w:spacing w:after="0"/>
              <w:jc w:val="center"/>
              <w:rPr>
                <w:rFonts w:ascii="Arial" w:eastAsia="Times New Roman" w:hAnsi="Arial" w:cs="Arial"/>
                <w:sz w:val="24"/>
                <w:szCs w:val="24"/>
                <w:lang w:val="en-GB" w:eastAsia="ja-JP"/>
              </w:rPr>
            </w:pPr>
            <w:r w:rsidRPr="001B17AD">
              <w:rPr>
                <w:rFonts w:ascii="Arial" w:eastAsia="Times New Roman" w:hAnsi="Arial" w:cs="Arial"/>
                <w:b/>
                <w:bCs/>
                <w:sz w:val="24"/>
                <w:szCs w:val="24"/>
                <w:lang w:val="en-GB" w:eastAsia="ja-JP"/>
              </w:rPr>
              <w:t>Human Oversight Expected</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Implied that teacher remains in control. No explicit guidance on required oversight practices.</w:t>
            </w:r>
          </w:p>
        </w:tc>
        <w:tc>
          <w:tcPr>
            <w:tcW w:w="0" w:type="auto"/>
            <w:vAlign w:val="center"/>
            <w:hideMark/>
          </w:tcPr>
          <w:p w:rsidR="001B17AD" w:rsidRPr="001B17AD" w:rsidRDefault="001B17AD" w:rsidP="001B17AD">
            <w:pPr>
              <w:spacing w:after="0"/>
              <w:rPr>
                <w:rFonts w:ascii="Arial" w:eastAsia="Times New Roman" w:hAnsi="Arial" w:cs="Arial"/>
                <w:sz w:val="24"/>
                <w:szCs w:val="24"/>
                <w:lang w:val="en-GB" w:eastAsia="ja-JP"/>
              </w:rPr>
            </w:pPr>
            <w:r w:rsidRPr="001B17AD">
              <w:rPr>
                <w:rFonts w:ascii="Arial" w:eastAsia="Times New Roman" w:hAnsi="Arial" w:cs="Arial"/>
                <w:sz w:val="24"/>
                <w:szCs w:val="24"/>
                <w:lang w:val="en-GB" w:eastAsia="ja-JP"/>
              </w:rPr>
              <w:t>Needs improvement. A formal notice describing how educators must supervise, edit</w:t>
            </w:r>
            <w:r w:rsidR="00560AAA">
              <w:rPr>
                <w:rFonts w:ascii="Arial" w:eastAsia="Times New Roman" w:hAnsi="Arial" w:cs="Arial"/>
                <w:sz w:val="24"/>
                <w:szCs w:val="24"/>
                <w:lang w:val="en-GB" w:eastAsia="ja-JP"/>
              </w:rPr>
              <w:t xml:space="preserve"> </w:t>
            </w:r>
            <w:r w:rsidRPr="001B17AD">
              <w:rPr>
                <w:rFonts w:ascii="Arial" w:eastAsia="Times New Roman" w:hAnsi="Arial" w:cs="Arial"/>
                <w:sz w:val="24"/>
                <w:szCs w:val="24"/>
                <w:lang w:val="en-GB" w:eastAsia="ja-JP"/>
              </w:rPr>
              <w:t>or validate AI output should be included.</w:t>
            </w:r>
          </w:p>
        </w:tc>
      </w:tr>
    </w:tbl>
    <w:p w:rsidR="001B17AD" w:rsidRPr="001B17AD" w:rsidRDefault="001B17AD" w:rsidP="001B17AD">
      <w:pPr>
        <w:rPr>
          <w:rFonts w:ascii="Arial" w:hAnsi="Arial" w:cs="Arial"/>
          <w:color w:val="000000" w:themeColor="text1"/>
          <w:lang w:val="en-GB"/>
        </w:rPr>
      </w:pPr>
    </w:p>
    <w:p w:rsidR="001B17AD" w:rsidRPr="001B17AD" w:rsidRDefault="001B17AD" w:rsidP="001B17AD">
      <w:pPr>
        <w:rPr>
          <w:rFonts w:ascii="Arial" w:hAnsi="Arial" w:cs="Arial"/>
          <w:color w:val="000000" w:themeColor="text1"/>
          <w:lang w:val="en-GB"/>
        </w:rPr>
      </w:pPr>
    </w:p>
    <w:p w:rsidR="001B17AD" w:rsidRPr="001B17AD" w:rsidRDefault="00000000" w:rsidP="001B17AD">
      <w:pPr>
        <w:rPr>
          <w:rFonts w:ascii="Arial" w:hAnsi="Arial" w:cs="Arial"/>
          <w:b/>
          <w:bCs/>
          <w:color w:val="000000" w:themeColor="text1"/>
          <w:sz w:val="26"/>
          <w:szCs w:val="26"/>
          <w:lang w:val="en-GB"/>
        </w:rPr>
      </w:pPr>
      <w:r w:rsidRPr="001B17AD">
        <w:rPr>
          <w:rFonts w:ascii="Arial" w:hAnsi="Arial" w:cs="Arial"/>
          <w:color w:val="000000" w:themeColor="text1"/>
          <w:lang w:val="en-GB"/>
        </w:rPr>
        <w:br/>
      </w:r>
      <w:r w:rsidRPr="001B17AD">
        <w:rPr>
          <w:rFonts w:ascii="Arial" w:hAnsi="Arial" w:cs="Arial"/>
          <w:b/>
          <w:bCs/>
          <w:color w:val="000000" w:themeColor="text1"/>
          <w:sz w:val="26"/>
          <w:szCs w:val="26"/>
          <w:lang w:val="en-GB"/>
        </w:rPr>
        <w:t>Recommendations:</w:t>
      </w:r>
    </w:p>
    <w:p w:rsidR="00097663" w:rsidRPr="001B17AD" w:rsidRDefault="00000000" w:rsidP="001B17AD">
      <w:pPr>
        <w:rPr>
          <w:rFonts w:ascii="Arial" w:hAnsi="Arial" w:cs="Arial"/>
          <w:color w:val="000000" w:themeColor="text1"/>
          <w:sz w:val="24"/>
          <w:szCs w:val="24"/>
          <w:lang w:val="en-GB"/>
        </w:rPr>
      </w:pPr>
      <w:r w:rsidRPr="001B17AD">
        <w:rPr>
          <w:rFonts w:ascii="Arial" w:hAnsi="Arial" w:cs="Arial"/>
          <w:color w:val="000000" w:themeColor="text1"/>
          <w:sz w:val="24"/>
          <w:szCs w:val="24"/>
          <w:lang w:val="en-GB"/>
        </w:rPr>
        <w:t>- Request detailed technical documentation or a Model Card from MagicSchool AI covering logic, performance limits and data sources.</w:t>
      </w:r>
      <w:r w:rsidRPr="001B17AD">
        <w:rPr>
          <w:rFonts w:ascii="Arial" w:hAnsi="Arial" w:cs="Arial"/>
          <w:color w:val="000000" w:themeColor="text1"/>
          <w:sz w:val="24"/>
          <w:szCs w:val="24"/>
          <w:lang w:val="en-GB"/>
        </w:rPr>
        <w:br/>
        <w:t>- Draft a local Article 13-compliant notice summarizing the tool’s use for students and staff.</w:t>
      </w:r>
      <w:r w:rsidRPr="001B17AD">
        <w:rPr>
          <w:rFonts w:ascii="Arial" w:hAnsi="Arial" w:cs="Arial"/>
          <w:color w:val="000000" w:themeColor="text1"/>
          <w:sz w:val="24"/>
          <w:szCs w:val="24"/>
          <w:lang w:val="en-GB"/>
        </w:rPr>
        <w:br/>
        <w:t>- Follow up with vendor on explicit risks and ensure inclusion of human oversight expectations.</w:t>
      </w:r>
      <w:r w:rsidRPr="001B17AD">
        <w:rPr>
          <w:rFonts w:ascii="Arial" w:hAnsi="Arial" w:cs="Arial"/>
          <w:color w:val="000000" w:themeColor="text1"/>
          <w:sz w:val="24"/>
          <w:szCs w:val="24"/>
          <w:lang w:val="en-GB"/>
        </w:rPr>
        <w:br/>
        <w:t>- Ensure alignment with GDPR Articles 12</w:t>
      </w:r>
      <w:r w:rsidR="00560AAA">
        <w:rPr>
          <w:rFonts w:ascii="Arial" w:hAnsi="Arial" w:cs="Arial"/>
          <w:color w:val="000000" w:themeColor="text1"/>
          <w:sz w:val="24"/>
          <w:szCs w:val="24"/>
          <w:lang w:val="en-GB"/>
        </w:rPr>
        <w:t>-</w:t>
      </w:r>
      <w:r w:rsidRPr="001B17AD">
        <w:rPr>
          <w:rFonts w:ascii="Arial" w:hAnsi="Arial" w:cs="Arial"/>
          <w:color w:val="000000" w:themeColor="text1"/>
          <w:sz w:val="24"/>
          <w:szCs w:val="24"/>
          <w:lang w:val="en-GB"/>
        </w:rPr>
        <w:t>14 by drafting a transparency notice that also covers lawful basis, rights, and data storage limits.</w:t>
      </w:r>
      <w:r w:rsidRPr="001B17AD">
        <w:rPr>
          <w:rFonts w:ascii="Arial" w:hAnsi="Arial" w:cs="Arial"/>
          <w:color w:val="000000" w:themeColor="text1"/>
          <w:sz w:val="24"/>
          <w:szCs w:val="24"/>
          <w:lang w:val="en-GB"/>
        </w:rPr>
        <w:br/>
      </w:r>
      <w:r w:rsidRPr="001B17AD">
        <w:rPr>
          <w:rFonts w:ascii="Arial" w:hAnsi="Arial" w:cs="Arial"/>
          <w:color w:val="000000" w:themeColor="text1"/>
          <w:lang w:val="en-GB"/>
        </w:rPr>
        <w:br/>
      </w:r>
      <w:r w:rsidRPr="001B17AD">
        <w:rPr>
          <w:rFonts w:ascii="Arial" w:hAnsi="Arial" w:cs="Arial"/>
          <w:b/>
          <w:bCs/>
          <w:color w:val="000000" w:themeColor="text1"/>
          <w:sz w:val="26"/>
          <w:szCs w:val="26"/>
          <w:lang w:val="en-GB"/>
        </w:rPr>
        <w:t>Conclusion:</w:t>
      </w:r>
      <w:r w:rsidRPr="001B17AD">
        <w:rPr>
          <w:rFonts w:ascii="Arial" w:hAnsi="Arial" w:cs="Arial"/>
          <w:b/>
          <w:bCs/>
          <w:color w:val="000000" w:themeColor="text1"/>
          <w:sz w:val="26"/>
          <w:szCs w:val="26"/>
          <w:lang w:val="en-GB"/>
        </w:rPr>
        <w:br/>
      </w:r>
      <w:r w:rsidRPr="001B17AD">
        <w:rPr>
          <w:rFonts w:ascii="Arial" w:hAnsi="Arial" w:cs="Arial"/>
          <w:color w:val="000000" w:themeColor="text1"/>
          <w:sz w:val="24"/>
          <w:szCs w:val="24"/>
          <w:lang w:val="en-GB"/>
        </w:rPr>
        <w:t>MagicSchool AI qualifies as a high-risk system. While some transparency elements are met, additional documentation and clarifications are needed to fully comply with Article 13 of the EU AI Act and GDPR. Institutional responsibility includes bridging these gaps by obtaining or producing compliant materials.</w:t>
      </w:r>
      <w:r w:rsidRPr="001B17AD">
        <w:rPr>
          <w:rFonts w:ascii="Arial" w:hAnsi="Arial" w:cs="Arial"/>
          <w:color w:val="000000" w:themeColor="text1"/>
          <w:sz w:val="24"/>
          <w:szCs w:val="24"/>
          <w:lang w:val="en-GB"/>
        </w:rPr>
        <w:br/>
      </w:r>
    </w:p>
    <w:sectPr w:rsidR="00097663" w:rsidRPr="001B17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72089005">
    <w:abstractNumId w:val="8"/>
  </w:num>
  <w:num w:numId="2" w16cid:durableId="496966200">
    <w:abstractNumId w:val="6"/>
  </w:num>
  <w:num w:numId="3" w16cid:durableId="1511606960">
    <w:abstractNumId w:val="5"/>
  </w:num>
  <w:num w:numId="4" w16cid:durableId="612369074">
    <w:abstractNumId w:val="4"/>
  </w:num>
  <w:num w:numId="5" w16cid:durableId="325599070">
    <w:abstractNumId w:val="7"/>
  </w:num>
  <w:num w:numId="6" w16cid:durableId="1235167937">
    <w:abstractNumId w:val="3"/>
  </w:num>
  <w:num w:numId="7" w16cid:durableId="122311779">
    <w:abstractNumId w:val="2"/>
  </w:num>
  <w:num w:numId="8" w16cid:durableId="1445421275">
    <w:abstractNumId w:val="1"/>
  </w:num>
  <w:num w:numId="9" w16cid:durableId="52228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7663"/>
    <w:rsid w:val="0015074B"/>
    <w:rsid w:val="001B17AD"/>
    <w:rsid w:val="0029639D"/>
    <w:rsid w:val="00326F90"/>
    <w:rsid w:val="00560AAA"/>
    <w:rsid w:val="00AA1D8D"/>
    <w:rsid w:val="00B47730"/>
    <w:rsid w:val="00B62B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CEB5D"/>
  <w14:defaultImageDpi w14:val="300"/>
  <w15:docId w15:val="{233D39B3-3191-1A43-8249-E9DE8681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580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Toni Guardiola</cp:lastModifiedBy>
  <cp:revision>2</cp:revision>
  <dcterms:created xsi:type="dcterms:W3CDTF">2025-08-08T07:12:00Z</dcterms:created>
  <dcterms:modified xsi:type="dcterms:W3CDTF">2025-08-08T07:12:00Z</dcterms:modified>
  <cp:category/>
</cp:coreProperties>
</file>