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ANEXO CONTRACTUAL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ANEXO I – Alcance, Condiciones y Requisitos de Optimización Web y GEO</w:t>
      </w:r>
    </w:p>
    <w:p/>
    <w:p>
      <w:pPr>
        <w:spacing w:after="150"/>
      </w:pPr>
      <w:r/>
      <w:r>
        <w:rPr>
          <w:b/>
          <w:bCs/>
        </w:rPr>
        <w:t xml:space="preserve">Proyecto:</w:t>
      </w:r>
      <w:r>
        <w:t xml:space="preserve"> Optimización de Visibilidad, SEO Técnico y Estrategia GEO</w:t>
      </w:r>
    </w:p>
    <w:p>
      <w:pPr>
        <w:spacing w:after="150"/>
      </w:pPr>
      <w:r/>
      <w:r>
        <w:rPr>
          <w:b/>
          <w:bCs/>
        </w:rPr>
        <w:t xml:space="preserve">Cliente: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Proveedor:</w:t>
      </w:r>
      <w:r>
        <w:t xml:space="preserve"> [Tu nombre / marca]</w:t>
      </w:r>
    </w:p>
    <w:p>
      <w:pPr>
        <w:spacing w:after="150"/>
      </w:pPr>
      <w:r/>
      <w:r>
        <w:rPr>
          <w:b/>
          <w:bCs/>
        </w:rPr>
        <w:t xml:space="preserve">Versión:</w:t>
      </w:r>
      <w:r>
        <w:t xml:space="preserve"> 2.1 (Pivote Estratégico SEO/GEO)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OBJETO DEL ANEXO</w:t>
      </w:r>
    </w:p>
    <w:p>
      <w:pPr>
        <w:spacing w:after="150"/>
      </w:pPr>
      <w:r>
        <w:t xml:space="preserve">El presente documento regula los términos de la prestación de servicios de optimización web, centrados en el posicionamiento orgánico tradicional (SEO) y la visibilidad en motores de respuesta de Inteligencia Artificial (GEO), eliminando cualquier implementación de agentes autónomos (RAG) por acuerdo entre las partes.</w:t>
      </w:r>
    </w:p>
    <w:p/>
    <w:p>
      <w:pPr>
        <w:pStyle w:val="Heading2"/>
        <w:spacing w:before="300" w:after="150"/>
      </w:pPr>
      <w:r>
        <w:t xml:space="preserve">2. REQUISITO IMPRESCINDIBLE: ACCESO A HERRAMIENTAS</w:t>
      </w:r>
    </w:p>
    <w:p>
      <w:pPr>
        <w:spacing w:after="150"/>
      </w:pPr>
      <w:r>
        <w:t xml:space="preserve">Para la ejecución efectiva del servicio y la consecución del ROI proyectado, se establece como </w:t>
      </w:r>
      <w:r>
        <w:rPr>
          <w:b/>
          <w:bCs/>
        </w:rPr>
        <w:t xml:space="preserve">requisito obligatorio y condición previa</w:t>
      </w:r>
      <w:r>
        <w:t xml:space="preserve"> el acceso total del proveedor 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**Herramienta de Creación Web (CMS/Builder):** Acceso con permisos suficientes para modificar estructura, diseño, metadatos y código fuente si fuera necesario.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**Google Search Console / Analytics:** Para la medición y validación de resultados.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**Gestor de Dominio (opcional pero recomendado):** En caso de ser necesarios ajustes técnicos profundos.</w:t>
      </w:r>
    </w:p>
    <w:p/>
    <w:p>
      <w:pPr>
        <w:spacing w:after="150"/>
      </w:pPr>
      <w:r>
        <w:t xml:space="preserve">El retraso en el suministro de estos accesos exime al proveedor de los plazos de entrega acordados.</w:t>
      </w:r>
    </w:p>
    <w:p/>
    <w:p>
      <w:pPr>
        <w:pStyle w:val="Heading2"/>
        <w:spacing w:before="300" w:after="150"/>
      </w:pPr>
      <w:r>
        <w:t xml:space="preserve">3. ALCANCE DEL SERVICIO (Enfoque SEO/IA)</w:t>
      </w:r>
    </w:p>
    <w:p/>
    <w:p>
      <w:pPr>
        <w:pStyle w:val="Heading3"/>
        <w:spacing w:before="200" w:after="100"/>
      </w:pPr>
      <w:r>
        <w:t xml:space="preserve">3.1 Optimización Técnica y de Usabilidad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Auditoría y corrección del menú de navegación móvil.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Mejora de los tiempos de carga (WPO) mediante optimización de activos y código.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Saneamiento de errores 404 y redirecciones en los tres idiomas del sitio (ES / EN / DE).</w:t>
      </w:r>
    </w:p>
    <w:p/>
    <w:p>
      <w:pPr>
        <w:pStyle w:val="Heading3"/>
        <w:spacing w:before="200" w:after="100"/>
      </w:pPr>
      <w:r>
        <w:t xml:space="preserve">3.2 Estrategia GEO (Generative Engine Optimization)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Reestructuración de contenidos para facilitar la indexación por modelos como ChatGPT, Claude y Perplexity.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Implementación de Marcado de Datos Estructurados (Schema.org) avanzado para entidades de alquiler de vehículos y rutas turísticas.</w:t>
      </w:r>
    </w:p>
    <w:p/>
    <w:p>
      <w:pPr>
        <w:pStyle w:val="Heading2"/>
        <w:spacing w:before="300" w:after="150"/>
      </w:pPr>
      <w:r>
        <w:t xml:space="preserve">4. CONDICIONES DE Mantenimiento</w:t>
      </w:r>
    </w:p>
    <w:p>
      <w:pPr>
        <w:spacing w:after="150"/>
      </w:pPr>
      <w:r>
        <w:t xml:space="preserve">Se establece un soporte preventivo para asegurar que los cambios no se degraden con futuras actualizaciones de la herramienta de creación web, con un coste ajustado a la complejidad técnica de la consultoría.</w:t>
      </w:r>
    </w:p>
    <w:p/>
    <w:p>
      <w:pPr>
        <w:pStyle w:val="Heading2"/>
        <w:spacing w:before="300" w:after="150"/>
      </w:pPr>
      <w:r>
        <w:t xml:space="preserve">5. CUMPLIMIENTO Y TRANSPARENCIA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**RGPD:** Todas las optimizaciones respetarán la privacidad de los usuarios y no implican el tratamiento de datos personales para entrenamiento de modelos externos.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**Buenas Prácticas:** Se rechazan técnicas de "black-hat SEO"; todas las acciones buscan la autoridad y relevancia real de la marca Triumph Rental Mallorca.</w:t>
      </w:r>
    </w:p>
    <w:p/>
    <w:p>
      <w:pPr>
        <w:pStyle w:val="Heading2"/>
        <w:spacing w:before="300" w:after="150"/>
      </w:pPr>
      <w:r>
        <w:t xml:space="preserve">6. EXCLUSIONES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Creación de Chatbots o Agentes de IA autónomos.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Costes de licencias de la propia herramienta de creación web (Wix, Webflow, WordPress, etc.).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Gestión de campañas de publicidad pagada (SEM/social Ads).</w:t>
      </w:r>
    </w:p>
    <w:p/>
    <w:p>
      <w:pPr>
        <w:pStyle w:val="Heading2"/>
        <w:spacing w:before="300" w:after="150"/>
      </w:pPr>
      <w:r>
        <w:t xml:space="preserve">7. RESPONSABILIDADES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**Proveedor:** Ejecutar las mejoras técnicas y de contenido según lo acordado.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**Cliente:** Garantizar la propiedad y el acceso a las herramientas web mencionadas en el punto 2.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8. FIRMAS DE CONFORMIDAD</w:t>
      </w:r>
    </w:p>
    <w:p/>
    <w:p>
      <w:pPr>
        <w:spacing w:after="150"/>
      </w:pPr>
      <w:r>
        <w:t xml:space="preserve">| Firma Cliente | Firma Proveedor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|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Fecha:</w:t>
      </w:r>
      <w:r>
        <w:t xml:space="preserve"> | </w:t>
      </w:r>
      <w:r>
        <w:rPr>
          <w:b/>
          <w:bCs/>
        </w:rPr>
        <w:t xml:space="preserve">Fecha:</w:t>
      </w:r>
      <w:r>
        <w:t xml:space="preserve"> |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Anexo Contractual</w:t>
          </w:r>
          <w:r>
            <w:rPr>
              <w:i/>
              <w:iCs/>
              <w:color w:val="666666"/>
              <w:sz w:val="18"/>
              <w:szCs w:val="18"/>
            </w:rPr>
            <w:t xml:space="preserve"> | v2.5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Estratega de IA y Soluciones Cognitivas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y8mrnuoye4rbpqxopq-c8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negdkdjmdinkamzmaiis-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2026-02-09T11:12:39.213Z</dcterms:created>
  <dcterms:modified xsi:type="dcterms:W3CDTF">2026-02-09T11:12:39.213Z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