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before="960"/>
        <w:jc w:val="both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jc w:val="both"/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keepNext/>
        <w:keepLines/>
        <w:spacing w:before="1000" w:after="600"/>
        <w:jc w:val="center"/>
      </w:pPr>
      <w:r>
        <w:t>1. VERTRAGSANHANG</w:t>
      </w:r>
    </w:p>
    <w:p>
      <w:pPr>
        <w:pStyle w:val="Heading2"/>
        <w:keepNext/>
        <w:keepLines/>
        <w:spacing w:before="400" w:after="400"/>
        <w:jc w:val="center"/>
      </w:pPr>
      <w:r>
        <w:t>1.1. ÍNDICE DE CONTENIDOS</w:t>
      </w:r>
      <w:r>
        <w:br/>
        <w:br/>
        <w:fldChar w:fldCharType="begin"/>
        <w:instrText> TOC \o "1-3" \h \z \u </w:instrText>
        <w:fldChar w:fldCharType="separate"/>
        <w:fldChar w:fldCharType="end"/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keepLines/>
        <w:jc w:val="both"/>
      </w:pPr>
      <w:r>
        <w:br w:type="page"/>
      </w:r>
    </w:p>
    <w:p>
      <w:pPr>
        <w:pStyle w:val="Heading1"/>
        <w:keepNext/>
        <w:keepLines/>
        <w:spacing w:before="400" w:after="200"/>
      </w:pPr>
      <w:r>
        <w:t>2. ANHANG I – Umfang, Bedingungen und Anforderungen für Web- und GEO-Optimierung</w:t>
      </w:r>
    </w:p>
    <w:p>
      <w:pPr>
        <w:keepLines/>
        <w:jc w:val="both"/>
      </w:pPr>
    </w:p>
    <w:p>
      <w:pPr>
        <w:pStyle w:val="Heading1"/>
        <w:keepNext/>
        <w:keepLines/>
        <w:spacing w:after="150"/>
      </w:pPr>
      <w:r>
        <w:t>3. Projekt: Optimierung der Sichtbarkeit, technisches SEO und GEO-Strategie</w:t>
      </w:r>
    </w:p>
    <w:p>
      <w:pPr>
        <w:pStyle w:val="Heading1"/>
        <w:keepNext/>
        <w:keepLines/>
        <w:spacing w:after="150"/>
      </w:pPr>
      <w:r>
        <w:t>4. Kunde: Triumph Rental Mallorca</w:t>
      </w:r>
    </w:p>
    <w:p>
      <w:pPr>
        <w:pStyle w:val="Heading1"/>
        <w:keepNext/>
        <w:keepLines/>
        <w:spacing w:after="150"/>
      </w:pPr>
      <w:r>
        <w:t>5. Anbieter: [Ihr Name / Ihre Marke]</w:t>
      </w:r>
    </w:p>
    <w:p>
      <w:pPr>
        <w:pStyle w:val="Heading1"/>
        <w:keepNext/>
        <w:keepLines/>
        <w:spacing w:after="150"/>
      </w:pPr>
      <w:r>
        <w:t>6. Version: 2.1 (SEO/GEO Strategischer Pivot)</w:t>
      </w:r>
    </w:p>
    <w:p>
      <w:pPr>
        <w:keepLines/>
        <w:jc w:val="both"/>
      </w:pP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6.1. ZWECK DES ANHANGS</w:t>
      </w:r>
    </w:p>
    <w:p>
      <w:pPr>
        <w:keepLines/>
        <w:spacing w:after="150"/>
        <w:jc w:val="both"/>
      </w:pPr>
      <w:r>
        <w:t xml:space="preserve">Dieses Dokument regelt die Bedingungen für Web-Optimierungsdienste mit Schwerpunkt auf traditioneller organischer Positionierung (SEO) und Sichtbarkeit in Antwortmaschinen der künstlichen Intelligenz (GEO). Jegliche Implementierung autonomer Agenten (RAG) wird im gegenseitigen Einvernehmen der Parteien gestrichen.</w:t>
      </w: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6.2. UNVERZICHTBARE ANFORDERUNG: ZUGRIFF AUF TOOLS</w:t>
      </w:r>
    </w:p>
    <w:p>
      <w:pPr>
        <w:keepLines/>
        <w:spacing w:after="150"/>
        <w:jc w:val="both"/>
      </w:pPr>
      <w:r>
        <w:t xml:space="preserve">Für die effektive Ausführung des Dienstes und das Erreichen des prognostizierten ROI wird als </w:t>
      </w:r>
      <w:r>
        <w:rPr>
          <w:b/>
          <w:bCs/>
        </w:rPr>
        <w:t xml:space="preserve">obligatorische Anforderung und Voraussetzung</w:t>
      </w:r>
      <w:r>
        <w:t xml:space="preserve"> festgelegt, dass der Anbieter vollständigen Zugriff erhält auf: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Web-Erstellungstool (CMS/Builder):</w:t>
      </w:r>
      <w:r>
        <w:t xml:space="preserve"> Zugriff mit ausreichenden Berechtigungen zur Änderung von Struktur, Design, Metadaten und Quellcode, falls erforderlich.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Google Search Console / Analytics:</w:t>
      </w:r>
      <w:r>
        <w:t xml:space="preserve"> Zur Messung und Validierung der Ergebnisse.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Domain-Manager (optional, aber empfohlen):</w:t>
      </w:r>
      <w:r>
        <w:t xml:space="preserve"> Falls tiefgreifende technische Anpassungen erforderlich sind.</w:t>
      </w:r>
    </w:p>
    <w:p>
      <w:pPr>
        <w:keepLines/>
        <w:jc w:val="both"/>
      </w:pPr>
    </w:p>
    <w:p>
      <w:pPr>
        <w:keepLines/>
        <w:spacing w:after="150"/>
        <w:jc w:val="both"/>
      </w:pPr>
      <w:r>
        <w:t xml:space="preserve">Verzögerungen bei der Bereitstellung dieser Zugänge entbinden den Anbieter von den vereinbarten Lieferfristen.</w:t>
      </w: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6.3. LEISTUNGSUMFANG (SEO/KI-Fokus)</w:t>
      </w:r>
    </w:p>
    <w:p>
      <w:pPr>
        <w:keepLines/>
        <w:jc w:val="both"/>
      </w:pPr>
    </w:p>
    <w:p>
      <w:pPr>
        <w:pStyle w:val="Heading3"/>
        <w:keepNext/>
        <w:keepLines/>
        <w:spacing w:before="200" w:after="100"/>
      </w:pPr>
      <w:r>
        <w:t>6.3.1. 1 Technische und Usability-Optimierung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Prüfung und Korrektur des mobilen Navigationsmenüs.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Verbesserung der Ladezeiten (WPO) durch Optimierung von Assets und Code.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Bereinigung von 404-Fehlern und Weiterleitungen in den drei Sprachen der Website (ES / EN / DE).</w:t>
      </w:r>
    </w:p>
    <w:p>
      <w:pPr>
        <w:keepLines/>
        <w:jc w:val="both"/>
      </w:pPr>
    </w:p>
    <w:p>
      <w:pPr>
        <w:pStyle w:val="Heading3"/>
        <w:keepNext/>
        <w:keepLines/>
        <w:spacing w:before="200" w:after="100"/>
      </w:pPr>
      <w:r>
        <w:t>6.3.2. 2 GEO-Strategie (Generative Engine Optimization)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Inhaltliche Umstrukturierung zur Erleichterung der Indexierung durch Modelle wie ChatGPT, Claude und Perplexity.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Implementierung von erweitertem Markup für strukturierte Daten (Schema.org) für Fahrzeugvermietungen und touristische Routen.</w:t>
      </w: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6.4. WARTUNGSBEDINGUNGEN</w:t>
      </w:r>
    </w:p>
    <w:p>
      <w:pPr>
        <w:keepLines/>
        <w:spacing w:after="150"/>
        <w:jc w:val="both"/>
      </w:pPr>
      <w:r>
        <w:t xml:space="preserve">Es wird ein präventiver Support eingerichtet, um sicherzustellen, dass die Änderungen bei zukünftigen Aktualisierungen des Web-Erstellungstools nicht an Qualität verlieren. Die Kosten werden an die technische Komplexität der Beratung angepasst.</w:t>
      </w: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6.5. COMPLIANCE UND TRANSPARENZ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DSGVO:</w:t>
      </w:r>
      <w:r>
        <w:t xml:space="preserve"> Alle Optimierungen respektieren die Privatsphäre der Nutzer und beinhalten keine Verarbeitung personenbezogener Daten zum Training externer Modelle.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Best Practices:</w:t>
      </w:r>
      <w:r>
        <w:t xml:space="preserve"> „Black-Hat-SEO“-Techniken werden abgelehnt; alle Maßnahmen zielen auf die tatsächliche Autorität und Relevanz der Marke Triumph Rental Mallorca ab.</w:t>
      </w: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6.6. AUSSCHLÜSSE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Erstellung von Chatbots oder autonomen KI-Agenten.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Lizenzkosten für das Web-Erstellungstool selbst (Wix, Webflow, WordPress, etc.).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Verwaltung von bezahlten Werbekampagnen (SEM/Social Ads).</w:t>
      </w: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6.7. VERANTWORTLICHKEITEN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Anbieter:</w:t>
      </w:r>
      <w:r>
        <w:t xml:space="preserve"> Durchführung der vereinbarten technischen und inhaltlichen Verbesserungen.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Kunde:</w:t>
      </w:r>
      <w:r>
        <w:t xml:space="preserve"> Gewährleistung des Eigentums und des Zugriffs auf die in Abschnitt 2 genannten Web-Tools.</w:t>
      </w:r>
    </w:p>
    <w:p>
      <w:pPr>
        <w:keepLines/>
        <w:jc w:val="both"/>
      </w:pP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6.8. EINVERSTÄNDNISERKLÄRUNGEN</w:t>
      </w:r>
    </w:p>
    <w:p>
      <w:pPr>
        <w:keepLines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13"/>
        <w:gridCol w:w="4513"/>
      </w:tblGrid>
      <w:tr>
        <w:tc>
          <w:tcPr>
            <w:tcW w:type="dxa" w:w="4513"/>
            <w:shd w:fill="EEEEEE"/>
          </w:tcPr>
          <w:p>
            <w:pPr>
              <w:jc w:val="center"/>
            </w:pPr>
            <w:r>
              <w:rPr>
                <w:b/>
              </w:rPr>
              <w:t>Unterschrift Kunde</w:t>
            </w:r>
          </w:p>
        </w:tc>
        <w:tc>
          <w:tcPr>
            <w:tcW w:type="dxa" w:w="4513"/>
            <w:shd w:fill="EEEEEE"/>
          </w:tcPr>
          <w:p>
            <w:pPr>
              <w:jc w:val="center"/>
            </w:pPr>
            <w:r>
              <w:rPr>
                <w:b/>
              </w:rPr>
              <w:t>Unterschrift Anbieter</w:t>
            </w:r>
          </w:p>
        </w:tc>
      </w:tr>
      <w:tr>
        <w:tc>
          <w:tcPr>
            <w:tcW w:type="dxa" w:w="4513"/>
          </w:tcPr>
          <w:p>
            <w:r>
              <w:t>Datum:</w:t>
            </w:r>
          </w:p>
        </w:tc>
        <w:tc>
          <w:tcPr>
            <w:tcW w:type="dxa" w:w="4513"/>
          </w:tcPr>
          <w:p>
            <w:r>
              <w:t>Datum:</w:t>
            </w:r>
          </w:p>
        </w:tc>
      </w:tr>
    </w:tbl>
    <w:p>
      <w:pPr>
        <w:keepLines/>
        <w:jc w:val="both"/>
      </w:pP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Vertragsanhang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w5dgoxkepqmaieizzjvu-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gqthndn2c8eyghurttd1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2026-02-09T11:49:20.515Z</dcterms:created>
  <dcterms:modified xsi:type="dcterms:W3CDTF">2026-02-09T11:49:20.515Z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