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7562088" cy="10689336"/>
            <wp:docPr id="1" name="Picture 1"/>
            <wp:cNvGraphicFramePr>
              <a:graphicFrameLocks noChangeAspect="1"/>
            </wp:cNvGraphicFramePr>
            <a:graphic>
              <a:graphicData uri="http://schemas.openxmlformats.org/drawingml/2006/picture">
                <pic:pic>
                  <pic:nvPicPr>
                    <pic:cNvPr id="0" name="ROI_ES.jpg"/>
                    <pic:cNvPicPr/>
                  </pic:nvPicPr>
                  <pic:blipFill>
                    <a:blip r:embed="rId9"/>
                    <a:stretch>
                      <a:fillRect/>
                    </a:stretch>
                  </pic:blipFill>
                  <pic:spPr>
                    <a:xfrm>
                      <a:off x="0" y="0"/>
                      <a:ext cx="7562088" cy="10689336"/>
                    </a:xfrm>
                    <a:prstGeom prst="rect"/>
                  </pic:spPr>
                </pic:pic>
              </a:graphicData>
            </a:graphic>
          </wp:inline>
        </w:drawing>
      </w:r>
    </w:p>
    <w:p>
      <w:pPr>
        <w:sectPr>
          <w:footerReference w:type="default" r:id="rId10"/>
          <w:pgSz w:w="11909" w:h="16834"/>
          <w:pgMar w:top="0" w:right="0" w:bottom="0" w:left="0" w:header="720" w:footer="720" w:gutter="0"/>
          <w:cols w:space="720"/>
          <w:docGrid w:linePitch="360"/>
        </w:sectPr>
      </w:pPr>
    </w:p>
    <w:p/>
    <w:p/>
    <w:p/>
    <w:p>
      <w:pPr>
        <w:jc w:val="center"/>
      </w:pPr>
      <w:r>
        <w:rPr>
          <w:rFonts w:ascii="Arial" w:hAnsi="Arial"/>
          <w:b/>
          <w:sz w:val="28"/>
        </w:rPr>
        <w:t>CONTENIDO</w:t>
      </w:r>
    </w:p>
    <w:p/>
    <w:p/>
    <w:p>
      <w:pPr>
        <w:ind w:left="0"/>
      </w:pPr>
      <w:r>
        <w:rPr>
          <w:b/>
          <w:sz w:val="22"/>
        </w:rPr>
        <w:t>1 Justificación del Retorno de Inversión (ROI): Optimización Web y GEO 2026</w:t>
      </w:r>
    </w:p>
    <w:p>
      <w:pPr>
        <w:ind w:left="432"/>
      </w:pPr>
      <w:r>
        <w:rPr>
          <w:sz w:val="22"/>
        </w:rPr>
        <w:t>1.1 Por qué el SEO y la GEO son la Inversión Prioritaria</w:t>
      </w:r>
    </w:p>
    <w:p>
      <w:pPr>
        <w:ind w:left="432"/>
      </w:pPr>
      <w:r>
        <w:rPr>
          <w:sz w:val="22"/>
        </w:rPr>
        <w:t>1.2 Impacto Económico a Corto Plazo (0 - 4 meses)</w:t>
      </w:r>
    </w:p>
    <w:p>
      <w:pPr>
        <w:ind w:left="864"/>
      </w:pPr>
      <w:r>
        <w:rPr>
          <w:sz w:val="22"/>
        </w:rPr>
        <w:t>1.2.1 Corrección de Fugas de Tráfico (SEO Técnico)</w:t>
      </w:r>
    </w:p>
    <w:p>
      <w:pPr>
        <w:ind w:left="864"/>
      </w:pPr>
      <w:r>
        <w:rPr>
          <w:sz w:val="22"/>
        </w:rPr>
        <w:t>1.2.2 Posicionamiento en Idiomas Estratégicos</w:t>
      </w:r>
    </w:p>
    <w:p>
      <w:pPr>
        <w:ind w:left="432"/>
      </w:pPr>
      <w:r>
        <w:rPr>
          <w:sz w:val="22"/>
        </w:rPr>
        <w:t>1.3 Impacto a Medio Plazo (4 - 12 meses)</w:t>
      </w:r>
    </w:p>
    <w:p>
      <w:pPr>
        <w:ind w:left="864"/>
      </w:pPr>
      <w:r>
        <w:rPr>
          <w:sz w:val="22"/>
        </w:rPr>
        <w:t>1.3.1 Dominio en Motores de Respuesta IA (GEO)</w:t>
      </w:r>
    </w:p>
    <w:p>
      <w:pPr>
        <w:ind w:left="864"/>
      </w:pPr>
      <w:r>
        <w:rPr>
          <w:sz w:val="22"/>
        </w:rPr>
        <w:t>1.3.2 Reducción de Costes de Adquisición (CAC)</w:t>
      </w:r>
    </w:p>
    <w:p>
      <w:pPr>
        <w:ind w:left="432"/>
      </w:pPr>
      <w:r>
        <w:rPr>
          <w:sz w:val="22"/>
        </w:rPr>
        <w:t>1.4 Requisito Crítico: Acceso a Herramientas de Creación</w:t>
      </w:r>
    </w:p>
    <w:p>
      <w:pPr>
        <w:ind w:left="432"/>
      </w:pPr>
      <w:r>
        <w:rPr>
          <w:sz w:val="22"/>
        </w:rPr>
        <w:t>1.5 Cuantificación de la Inversión</w:t>
      </w:r>
    </w:p>
    <w:p>
      <w:pPr>
        <w:ind w:left="864"/>
      </w:pPr>
      <w:r>
        <w:rPr>
          <w:sz w:val="22"/>
        </w:rPr>
        <w:t>1.5.1 Conclusión</w:t>
      </w:r>
    </w:p>
    <w:p>
      <w:r>
        <w:br w:type="page"/>
      </w:r>
    </w:p>
    <w:p>
      <w:pPr>
        <w:pStyle w:val="Heading1"/>
      </w:pPr>
      <w:r>
        <w:t>Justificación del Retorno de Inversión (ROI): Optimización Web y GEO 2026</w:t>
      </w:r>
    </w:p>
    <w:p>
      <w:r>
        <w:t>**Para:** Triumph Rental Mallorca</w:t>
      </w:r>
    </w:p>
    <w:p>
      <w:r>
        <w:t>**Documento:** Análisis de Rentabilidad y Justificación Estratégica (Enfoque SEO/GEO)</w:t>
      </w:r>
    </w:p>
    <w:p>
      <w:r>
        <w:t>---</w:t>
      </w:r>
    </w:p>
    <w:p>
      <w:pPr>
        <w:pStyle w:val="Heading2"/>
      </w:pPr>
      <w:r>
        <w:t>1. Por qué el SEO y la GEO son la Inversión Prioritaria</w:t>
      </w:r>
    </w:p>
    <w:p>
      <w:r>
        <w:t>En lugar de implementar herramientas complejas de chat que requieren gran mantenimiento, el enfoque actual se centra en convertir su sitio web en una máquina de captación de tráfico cualificado. En 2026, no basta con aparecer en Google (SEO); es vital ser la fuente preferida de los motores de respuesta de IA (ChatGPT, SearchGPT, Perplexity), lo que se denomina **GEO (Generative Engine Optimization)**.</w:t>
      </w:r>
    </w:p>
    <w:p>
      <w:pPr>
        <w:pStyle w:val="Heading2"/>
      </w:pPr>
      <w:r>
        <w:t>2. Impacto Económico a Corto Plazo (0 - 4 meses)</w:t>
      </w:r>
    </w:p>
    <w:p>
      <w:pPr>
        <w:pStyle w:val="Heading3"/>
      </w:pPr>
      <w:r>
        <w:t>A. Corrección de Fugas de Tráfico (SEO Técnico)</w:t>
      </w:r>
    </w:p>
    <w:p>
      <w:r>
        <w:t>La reparación del menú móvil y la velocidad de carga detendrán la pérdida inmediata de clientes que abandonan la web por frustración técnica.</w:t>
      </w:r>
    </w:p>
    <w:p>
      <w:r>
        <w:t>*   **Dato de Mercado:** Una mejora del 20% en la velocidad de carga puede aumentar las ventas en dispositivos móviles hasta en un **8-10%**.</w:t>
      </w:r>
    </w:p>
    <w:p>
      <w:r>
        <w:t>*   **Impacto:** Aseguramos que el 100% de los interesados en alquilar una Triumph en Mallorca completen el proceso sin errores técnicos.</w:t>
      </w:r>
    </w:p>
    <w:p>
      <w:pPr>
        <w:pStyle w:val="Heading3"/>
      </w:pPr>
      <w:r>
        <w:t>B. Posicionamiento en Idiomas Estratégicos</w:t>
      </w:r>
    </w:p>
    <w:p>
      <w:r>
        <w:t>Optimizar la web para que sea perfectamente legible en Inglés y Alemán capturará la demanda internacional antes de que lleguen a la isla.</w:t>
      </w:r>
    </w:p>
    <w:p>
      <w:r>
        <w:t>*   **Valor:** Captura de clientes premium alemanes y británicos que actualmente terminan en sitios de la competencia mejor traducidos y optimizados.</w:t>
      </w:r>
    </w:p>
    <w:p>
      <w:pPr>
        <w:pStyle w:val="Heading2"/>
      </w:pPr>
      <w:r>
        <w:t>3. Impacto a Medio Plazo (4 - 12 meses)</w:t>
      </w:r>
    </w:p>
    <w:p>
      <w:pPr>
        <w:pStyle w:val="Heading3"/>
      </w:pPr>
      <w:r>
        <w:t>A. Dominio en Motores de Respuesta IA (GEO)</w:t>
      </w:r>
    </w:p>
    <w:p>
      <w:r>
        <w:t>Al estructurar sus contenidos para la IA, su negocio aparecerá cuando un turista pregunte: *"¿Dónde puedo alquilar una Triumph en buenas condiciones en Mallorca?"* a su asistente virtual.</w:t>
      </w:r>
    </w:p>
    <w:p>
      <w:r>
        <w:t>*   **Valor Estratégico:** Ser la "respuesta oficial" para la IA es la nueva ventaja competitiva que sustituye a los anuncios de pago costosos.</w:t>
      </w:r>
    </w:p>
    <w:p>
      <w:pPr>
        <w:pStyle w:val="Heading3"/>
      </w:pPr>
      <w:r>
        <w:t>B. Reducción de Costes de Adquisición (CAC)</w:t>
      </w:r>
    </w:p>
    <w:p>
      <w:r>
        <w:t>Al mejorar el tráfico orgánico y la visibilidad en IA, la dependencia de la publicidad de pago (Ads) disminuye drásticamente, aumentando el margen de beneficio por cada reserva.</w:t>
      </w:r>
    </w:p>
    <w:p>
      <w:pPr>
        <w:pStyle w:val="Heading2"/>
      </w:pPr>
      <w:r>
        <w:t>4. Requisito Crítico: Acceso a Herramientas de Creación</w:t>
      </w:r>
    </w:p>
    <w:p>
      <w:r>
        <w:t>Para asegurar este ROI, es **imprescindible** el acceso total a la herramienta de creación web (CMS/Builder). Esto permite:</w:t>
      </w:r>
    </w:p>
    <w:p>
      <w:r>
        <w:t>*   Implementar cambios de velocidad sin demora.</w:t>
      </w:r>
    </w:p>
    <w:p>
      <w:r>
        <w:t>*   Ajustar metadatos y esquemas de datos para la IA en tiempo real.</w:t>
      </w:r>
    </w:p>
    <w:p>
      <w:r>
        <w:t>*   Solucionar errores de navegación móvil (como el menú detectado) de forma directa.</w:t>
      </w:r>
    </w:p>
    <w:p>
      <w:pPr>
        <w:pStyle w:val="Heading2"/>
      </w:pPr>
      <w:r>
        <w:t>5. Cuantificación de la Inversión</w:t>
      </w:r>
    </w:p>
    <w:p>
      <w:r>
        <w:t>Basándonos en un enfoque de optimización profunda (inversión inicial ajustada):</w:t>
      </w:r>
    </w:p>
    <w:p>
      <w:r>
        <w:t>| Métrica | Estimación Conservadora |</w:t>
      </w:r>
    </w:p>
    <w:p>
      <w:r>
        <w:t>| :--- | :--- |</w:t>
      </w:r>
    </w:p>
    <w:p>
      <w:r>
        <w:t>| **Aumento de visibilidad en IA (GEO)** | Captura de nuevas fuentes de tráfico (IA-driven) |</w:t>
      </w:r>
    </w:p>
    <w:p>
      <w:r>
        <w:t>| **Aumento de conversión estimado** | 8% - 12% por mejoras de usabilidad y velocidad |</w:t>
      </w:r>
    </w:p>
    <w:p>
      <w:r>
        <w:t>| **Punto de Equilibrio (Break-even)** | Recuperación estimada en **2 - 4 meses** |</w:t>
      </w:r>
    </w:p>
    <w:p>
      <w:r>
        <w:t>---</w:t>
      </w:r>
    </w:p>
    <w:p>
      <w:pPr>
        <w:pStyle w:val="Heading3"/>
      </w:pPr>
      <w:r>
        <w:t>Conclusión</w:t>
      </w:r>
    </w:p>
    <w:p>
      <w:r>
        <w:t>Este enfoque es más eficiente y sostenible para una empresa de alquiler de motos. Al centrarnos en la web como activo principal y optimizar su visibilidad en los nuevos motores de búsqueda de IA, garantizamos un retorno más rápido y una infraestructura técnica sólida sobre la cual escalar el negocio sin la complejidad operativa de un agente RAG.</w:t>
      </w:r>
    </w:p>
    <w:sectPr w:rsidR="00FC693F" w:rsidRPr="0006063C" w:rsidSect="00034616">
      <w:pgSz w:w="11909" w:h="16834"/>
      <w:pgMar w:top="1440" w:right="2160" w:bottom="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