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ANHANG I – Umfang, Bedingungen und Anforderungen für Web- und GEO-Optimierung</w:t>
      </w:r>
    </w:p>
    <w:p>
      <w:pPr>
        <w:spacing w:after="40"/>
        <w:ind w:left="432"/>
      </w:pPr>
      <w:r>
        <w:rPr>
          <w:rFonts w:ascii="Arial" w:hAnsi="Arial"/>
          <w:sz w:val="22"/>
        </w:rPr>
        <w:t>1.1 ZWECK DES ANHANGS</w:t>
      </w:r>
    </w:p>
    <w:p>
      <w:pPr>
        <w:spacing w:after="40"/>
        <w:ind w:left="432"/>
      </w:pPr>
      <w:r>
        <w:rPr>
          <w:rFonts w:ascii="Arial" w:hAnsi="Arial"/>
          <w:sz w:val="22"/>
        </w:rPr>
        <w:t>1.2 UNVERZICHTBARE ANFORDERUNG: ZUGRIFF AUF TOOLS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Web-Erstellungstool (CMS/Builder):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Google Search Console / Analytics: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Domain-Manager (optional, aber empfohlen):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LEISTUNGSUMFANG (SEO/KI-Fokus)</w:t>
      </w:r>
    </w:p>
    <w:p>
      <w:pPr>
        <w:spacing w:after="40"/>
        <w:ind w:left="864"/>
      </w:pPr>
      <w:r>
        <w:rPr>
          <w:rFonts w:ascii="Arial" w:hAnsi="Arial"/>
          <w:sz w:val="22"/>
        </w:rPr>
        <w:t>1.3.1 Technische und Usability-Optimierung</w:t>
      </w:r>
    </w:p>
    <w:p>
      <w:pPr>
        <w:spacing w:after="40"/>
        <w:ind w:left="864"/>
      </w:pPr>
      <w:r>
        <w:rPr>
          <w:rFonts w:ascii="Arial" w:hAnsi="Arial"/>
          <w:sz w:val="22"/>
        </w:rPr>
        <w:t>1.3.2 GEO-Strategie (Generative Engine Optimization)</w:t>
      </w:r>
    </w:p>
    <w:p>
      <w:pPr>
        <w:spacing w:after="40"/>
        <w:ind w:left="432"/>
      </w:pPr>
      <w:r>
        <w:rPr>
          <w:rFonts w:ascii="Arial" w:hAnsi="Arial"/>
          <w:sz w:val="22"/>
        </w:rPr>
        <w:t>1.4 WARTUNGSBEDINGUNGEN</w:t>
      </w:r>
    </w:p>
    <w:p>
      <w:pPr>
        <w:spacing w:after="40"/>
        <w:ind w:left="432"/>
      </w:pPr>
      <w:r>
        <w:rPr>
          <w:rFonts w:ascii="Arial" w:hAnsi="Arial"/>
          <w:sz w:val="22"/>
        </w:rPr>
        <w:t>1.5 COMPLIANCE UND TRANSPARENZ</w:t>
      </w:r>
    </w:p>
    <w:p>
      <w:pPr>
        <w:spacing w:after="40"/>
        <w:ind w:left="1296"/>
      </w:pPr>
      <w:r>
        <w:rPr>
          <w:rFonts w:ascii="Arial" w:hAnsi="Arial"/>
          <w:sz w:val="22"/>
        </w:rPr>
        <w:t>1.5.0.1 DSGVO:</w:t>
      </w:r>
    </w:p>
    <w:p>
      <w:pPr>
        <w:spacing w:after="40"/>
        <w:ind w:left="1296"/>
      </w:pPr>
      <w:r>
        <w:rPr>
          <w:rFonts w:ascii="Arial" w:hAnsi="Arial"/>
          <w:sz w:val="22"/>
        </w:rPr>
        <w:t>1.5.0.2 Best Practices:</w:t>
      </w:r>
    </w:p>
    <w:p>
      <w:pPr>
        <w:spacing w:after="40"/>
        <w:ind w:left="432"/>
      </w:pPr>
      <w:r>
        <w:rPr>
          <w:rFonts w:ascii="Arial" w:hAnsi="Arial"/>
          <w:sz w:val="22"/>
        </w:rPr>
        <w:t>1.6 AUSSCHLÜSSE</w:t>
      </w:r>
    </w:p>
    <w:p>
      <w:pPr>
        <w:spacing w:after="40"/>
        <w:ind w:left="432"/>
      </w:pPr>
      <w:r>
        <w:rPr>
          <w:rFonts w:ascii="Arial" w:hAnsi="Arial"/>
          <w:sz w:val="22"/>
        </w:rPr>
        <w:t>1.7 VERANTWORTLICHKEITEN</w:t>
      </w:r>
    </w:p>
    <w:p>
      <w:pPr>
        <w:spacing w:after="40"/>
        <w:ind w:left="1296"/>
      </w:pPr>
      <w:r>
        <w:rPr>
          <w:rFonts w:ascii="Arial" w:hAnsi="Arial"/>
          <w:sz w:val="22"/>
        </w:rPr>
        <w:t>1.7.0.1 Anbieter:</w:t>
      </w:r>
    </w:p>
    <w:p>
      <w:pPr>
        <w:spacing w:after="40"/>
        <w:ind w:left="1296"/>
      </w:pPr>
      <w:r>
        <w:rPr>
          <w:rFonts w:ascii="Arial" w:hAnsi="Arial"/>
          <w:sz w:val="22"/>
        </w:rPr>
        <w:t>1.7.0.2 Kunde:</w:t>
      </w:r>
    </w:p>
    <w:p>
      <w:pPr>
        <w:spacing w:after="40"/>
        <w:ind w:left="432"/>
      </w:pPr>
      <w:r>
        <w:rPr>
          <w:rFonts w:ascii="Arial" w:hAnsi="Arial"/>
          <w:sz w:val="22"/>
        </w:rPr>
        <w:t>1.8 EINVERSTÄNDNISERKLÄRUNGEN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