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ANNEX I – Scope, Conditions, and Requirements for Web and GEO Optimization</w:t>
      </w:r>
    </w:p>
    <w:p>
      <w:pPr>
        <w:spacing w:after="40"/>
        <w:ind w:left="432"/>
      </w:pPr>
      <w:r>
        <w:rPr>
          <w:rFonts w:ascii="Arial" w:hAnsi="Arial"/>
          <w:sz w:val="22"/>
        </w:rPr>
        <w:t>1.1 PURPOSE OF THE ANNEX</w:t>
      </w:r>
    </w:p>
    <w:p>
      <w:pPr>
        <w:spacing w:after="40"/>
        <w:ind w:left="432"/>
      </w:pPr>
      <w:r>
        <w:rPr>
          <w:rFonts w:ascii="Arial" w:hAnsi="Arial"/>
          <w:sz w:val="22"/>
        </w:rPr>
        <w:t>1.2 MANDATORY REQUIREMENT: TOOL ACCESS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Web Creation Tool (CMS/Builder):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Google Search Console / Analytics: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Domain Manager (optional but recommended):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SCOPE OF SERVICE (SEO/AI Focus)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Technical and Usability Optimization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GEO Strategy (Generative Engine Optimization)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MAINTENANCE CONDITIONS</w:t>
      </w:r>
    </w:p>
    <w:p>
      <w:pPr>
        <w:spacing w:after="40"/>
        <w:ind w:left="432"/>
      </w:pPr>
      <w:r>
        <w:rPr>
          <w:rFonts w:ascii="Arial" w:hAnsi="Arial"/>
          <w:sz w:val="22"/>
        </w:rPr>
        <w:t>1.5 COMPLIANCE AND TRANSPARENCY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1.5.0.1 GDPR:</w:t>
      </w:r>
    </w:p>
    <w:p>
      <w:pPr>
        <w:spacing w:after="40"/>
        <w:ind w:left="1296"/>
      </w:pPr>
      <w:r>
        <w:rPr>
          <w:rFonts w:ascii="Arial" w:hAnsi="Arial"/>
          <w:sz w:val="22"/>
        </w:rPr>
        <w:t>1.5.0.2 Best Practices:</w:t>
      </w:r>
    </w:p>
    <w:p>
      <w:pPr>
        <w:spacing w:after="40"/>
        <w:ind w:left="432"/>
      </w:pPr>
      <w:r>
        <w:rPr>
          <w:rFonts w:ascii="Arial" w:hAnsi="Arial"/>
          <w:sz w:val="22"/>
        </w:rPr>
        <w:t>1.6 EXCLUSIONS</w:t>
      </w:r>
    </w:p>
    <w:p>
      <w:pPr>
        <w:spacing w:after="40"/>
        <w:ind w:left="432"/>
      </w:pPr>
      <w:r>
        <w:rPr>
          <w:rFonts w:ascii="Arial" w:hAnsi="Arial"/>
          <w:sz w:val="22"/>
        </w:rPr>
        <w:t>1.7 RESPONSIBILITIES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1.7.0.1 Provider:</w:t>
      </w:r>
    </w:p>
    <w:p>
      <w:pPr>
        <w:spacing w:after="40"/>
        <w:ind w:left="1296"/>
      </w:pPr>
      <w:r>
        <w:rPr>
          <w:rFonts w:ascii="Arial" w:hAnsi="Arial"/>
          <w:sz w:val="22"/>
        </w:rPr>
        <w:t>1.7.0.2 Client:</w:t>
      </w:r>
    </w:p>
    <w:p>
      <w:pPr>
        <w:spacing w:after="40"/>
        <w:ind w:left="432"/>
      </w:pPr>
      <w:r>
        <w:rPr>
          <w:rFonts w:ascii="Arial" w:hAnsi="Arial"/>
          <w:sz w:val="22"/>
        </w:rPr>
        <w:t>1.8 SIGNATURES OF CONFORMITY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