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ANEXO I – Alcance, Condiciones y Requisitos de Optimización Web y GEO</w:t>
      </w:r>
    </w:p>
    <w:p>
      <w:pPr>
        <w:spacing w:after="40"/>
        <w:ind w:left="432"/>
      </w:pPr>
      <w:r>
        <w:rPr>
          <w:rFonts w:ascii="Arial" w:hAnsi="Arial"/>
          <w:sz w:val="22"/>
        </w:rPr>
        <w:t>1.1 OBJETO DEL ANEXO</w:t>
      </w:r>
    </w:p>
    <w:p>
      <w:pPr>
        <w:spacing w:after="40"/>
        <w:ind w:left="432"/>
      </w:pPr>
      <w:r>
        <w:rPr>
          <w:rFonts w:ascii="Arial" w:hAnsi="Arial"/>
          <w:sz w:val="22"/>
        </w:rPr>
        <w:t>1.2 REQUISITO IMPRESCINDIBLE: ACCESO A HERRAMIENTAS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Herramienta de Creación Web (CMS/Builder):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Google Search Console / Analytics: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Gestor de Dominio (opcional pero recomendado):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ALCANCE DEL SERVICIO (Enfoque SEO/IA)</w:t>
      </w:r>
    </w:p>
    <w:p>
      <w:pPr>
        <w:spacing w:after="40"/>
        <w:ind w:left="864"/>
      </w:pPr>
      <w:r>
        <w:rPr>
          <w:rFonts w:ascii="Arial" w:hAnsi="Arial"/>
          <w:sz w:val="22"/>
        </w:rPr>
        <w:t>1.3.1 Optimización Técnica y de Usabilidad</w:t>
      </w:r>
    </w:p>
    <w:p>
      <w:pPr>
        <w:spacing w:after="40"/>
        <w:ind w:left="864"/>
      </w:pPr>
      <w:r>
        <w:rPr>
          <w:rFonts w:ascii="Arial" w:hAnsi="Arial"/>
          <w:sz w:val="22"/>
        </w:rPr>
        <w:t>1.3.2 Estrategia GEO (Generative Engine Optimization)</w:t>
      </w:r>
    </w:p>
    <w:p>
      <w:pPr>
        <w:spacing w:after="40"/>
        <w:ind w:left="432"/>
      </w:pPr>
      <w:r>
        <w:rPr>
          <w:rFonts w:ascii="Arial" w:hAnsi="Arial"/>
          <w:sz w:val="22"/>
        </w:rPr>
        <w:t>1.4 CONDICIONES DE Mantenimiento</w:t>
      </w:r>
    </w:p>
    <w:p>
      <w:pPr>
        <w:spacing w:after="40"/>
        <w:ind w:left="432"/>
      </w:pPr>
      <w:r>
        <w:rPr>
          <w:rFonts w:ascii="Arial" w:hAnsi="Arial"/>
          <w:sz w:val="22"/>
        </w:rPr>
        <w:t>1.5 CUMPLIMIENTO Y TRANSPARENCIA</w:t>
      </w:r>
    </w:p>
    <w:p>
      <w:pPr>
        <w:spacing w:after="40"/>
        <w:ind w:left="1296"/>
      </w:pPr>
      <w:r>
        <w:rPr>
          <w:rFonts w:ascii="Arial" w:hAnsi="Arial"/>
          <w:sz w:val="22"/>
        </w:rPr>
        <w:t>1.5.0.1 RGPD:</w:t>
      </w:r>
    </w:p>
    <w:p>
      <w:pPr>
        <w:spacing w:after="40"/>
        <w:ind w:left="1296"/>
      </w:pPr>
      <w:r>
        <w:rPr>
          <w:rFonts w:ascii="Arial" w:hAnsi="Arial"/>
          <w:sz w:val="22"/>
        </w:rPr>
        <w:t>1.5.0.2 Buenas Prácticas:</w:t>
      </w:r>
    </w:p>
    <w:p>
      <w:pPr>
        <w:spacing w:after="40"/>
        <w:ind w:left="432"/>
      </w:pPr>
      <w:r>
        <w:rPr>
          <w:rFonts w:ascii="Arial" w:hAnsi="Arial"/>
          <w:sz w:val="22"/>
        </w:rPr>
        <w:t>1.6 EXCLUSIONES</w:t>
      </w:r>
    </w:p>
    <w:p>
      <w:pPr>
        <w:spacing w:after="40"/>
        <w:ind w:left="432"/>
      </w:pPr>
      <w:r>
        <w:rPr>
          <w:rFonts w:ascii="Arial" w:hAnsi="Arial"/>
          <w:sz w:val="22"/>
        </w:rPr>
        <w:t>1.7 RESPONSABILIDADES</w:t>
      </w:r>
    </w:p>
    <w:p>
      <w:pPr>
        <w:spacing w:after="40"/>
        <w:ind w:left="1296"/>
      </w:pPr>
      <w:r>
        <w:rPr>
          <w:rFonts w:ascii="Arial" w:hAnsi="Arial"/>
          <w:sz w:val="22"/>
        </w:rPr>
        <w:t>1.7.0.1 Proveedor:</w:t>
      </w:r>
    </w:p>
    <w:p>
      <w:pPr>
        <w:spacing w:after="40"/>
        <w:ind w:left="1296"/>
      </w:pPr>
      <w:r>
        <w:rPr>
          <w:rFonts w:ascii="Arial" w:hAnsi="Arial"/>
          <w:sz w:val="22"/>
        </w:rPr>
        <w:t>1.7.0.2 Cliente:</w:t>
      </w:r>
    </w:p>
    <w:p>
      <w:pPr>
        <w:spacing w:after="40"/>
        <w:ind w:left="432"/>
      </w:pPr>
      <w:r>
        <w:rPr>
          <w:rFonts w:ascii="Arial" w:hAnsi="Arial"/>
          <w:sz w:val="22"/>
        </w:rPr>
        <w:t>1.8 FIRMAS DE CONFORMIDAD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