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spacing w:after="40"/>
        <w:ind w:left="0"/>
      </w:pPr>
      <w:r>
        <w:rPr>
          <w:rFonts w:ascii="Arial" w:hAnsi="Arial"/>
          <w:b/>
          <w:sz w:val="22"/>
        </w:rPr>
        <w:t>1 Strategisches Angebot: Web-Optimierung und GEO-Sichtbarkeit</w:t>
      </w:r>
    </w:p>
    <w:p>
      <w:pPr>
        <w:spacing w:after="40"/>
        <w:ind w:left="432"/>
      </w:pPr>
      <w:r>
        <w:rPr>
          <w:rFonts w:ascii="Arial" w:hAnsi="Arial"/>
          <w:sz w:val="22"/>
        </w:rPr>
        <w:t>1.1 Einführung</w:t>
      </w:r>
    </w:p>
    <w:p>
      <w:pPr>
        <w:spacing w:after="40"/>
        <w:ind w:left="432"/>
      </w:pPr>
      <w:r>
        <w:rPr>
          <w:rFonts w:ascii="Arial" w:hAnsi="Arial"/>
          <w:sz w:val="22"/>
        </w:rPr>
        <w:t>1.2 Projektziel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1.2.0.1 Usability-Überholung: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1.2.0.2 Mehrsprachige Optimierung: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1.2.0.3 GEO-Positionierung:</w:t>
      </w:r>
    </w:p>
    <w:p>
      <w:pPr>
        <w:spacing w:after="40"/>
        <w:ind w:left="432"/>
      </w:pPr>
      <w:r>
        <w:rPr>
          <w:rFonts w:ascii="Arial" w:hAnsi="Arial"/>
          <w:sz w:val="22"/>
        </w:rPr>
        <w:t>1.3 Betriebliche Anforderung</w:t>
      </w:r>
    </w:p>
    <w:p>
      <w:pPr>
        <w:spacing w:after="40"/>
        <w:ind w:left="432"/>
      </w:pPr>
      <w:r>
        <w:rPr>
          <w:rFonts w:ascii="Arial" w:hAnsi="Arial"/>
          <w:sz w:val="22"/>
        </w:rPr>
        <w:t>1.4 Zeitplan</w:t>
      </w:r>
    </w:p>
    <w:p>
      <w:pPr>
        <w:spacing w:after="40"/>
        <w:ind w:left="1296"/>
      </w:pPr>
      <w:r>
        <w:rPr>
          <w:rFonts w:ascii="Arial" w:hAnsi="Arial"/>
          <w:sz w:val="22"/>
        </w:rPr>
        <w:t>1.4.0.1 Woche 1:</w:t>
      </w:r>
    </w:p>
    <w:p>
      <w:pPr>
        <w:spacing w:after="40"/>
        <w:ind w:left="1296"/>
      </w:pPr>
      <w:r>
        <w:rPr>
          <w:rFonts w:ascii="Arial" w:hAnsi="Arial"/>
          <w:sz w:val="22"/>
        </w:rPr>
        <w:t>1.4.0.2 Woche 2:</w:t>
      </w:r>
    </w:p>
    <w:p>
      <w:pPr>
        <w:spacing w:after="40"/>
        <w:ind w:left="1296"/>
      </w:pPr>
      <w:r>
        <w:rPr>
          <w:rFonts w:ascii="Arial" w:hAnsi="Arial"/>
          <w:sz w:val="22"/>
        </w:rPr>
        <w:t>1.4.0.3 Woche 3:</w:t>
      </w:r>
    </w:p>
    <w:p>
      <w:pPr>
        <w:spacing w:after="40"/>
        <w:ind w:left="1296"/>
      </w:pPr>
      <w:r>
        <w:rPr>
          <w:rFonts w:ascii="Arial" w:hAnsi="Arial"/>
          <w:sz w:val="22"/>
        </w:rPr>
        <w:t>1.4.0.4 Woche 4:</w:t>
      </w:r>
    </w:p>
    <w:p>
      <w:pPr>
        <w:spacing w:after="40"/>
        <w:ind w:left="432"/>
      </w:pPr>
      <w:r>
        <w:rPr>
          <w:rFonts w:ascii="Arial" w:hAnsi="Arial"/>
          <w:sz w:val="22"/>
        </w:rPr>
        <w:t>1.5 Finanzielles Detail</w:t>
      </w:r>
    </w:p>
    <w:p>
      <w:pPr>
        <w:spacing w:after="40"/>
        <w:ind w:left="432"/>
      </w:pPr>
      <w:r>
        <w:rPr>
          <w:rFonts w:ascii="Arial" w:hAnsi="Arial"/>
          <w:sz w:val="22"/>
        </w:rPr>
        <w:t>1.6 Bedingungen</w:t>
      </w:r>
    </w:p>
    <w:p>
      <w:pPr>
        <w:spacing w:after="40"/>
        <w:ind w:left="1296"/>
      </w:pPr>
      <w:r>
        <w:rPr>
          <w:rFonts w:ascii="Arial" w:hAnsi="Arial"/>
          <w:sz w:val="22"/>
        </w:rPr>
        <w:t>1.6.0.1 Zahlungsweise:</w:t>
      </w:r>
    </w:p>
    <w:p>
      <w:pPr>
        <w:spacing w:after="40"/>
        <w:ind w:left="1296"/>
      </w:pPr>
      <w:r>
        <w:rPr>
          <w:rFonts w:ascii="Arial" w:hAnsi="Arial"/>
          <w:sz w:val="22"/>
        </w:rPr>
        <w:t>1.6.0.2 Gültigkeit:</w:t>
      </w:r>
    </w:p>
    <w:p>
      <w:pPr>
        <w:spacing w:after="40"/>
        <w:ind w:left="1296"/>
      </w:pPr>
      <w:r>
        <w:rPr>
          <w:rFonts w:ascii="Arial" w:hAnsi="Arial"/>
          <w:sz w:val="22"/>
        </w:rPr>
        <w:t>1.6.0.3 Eigentum:</w:t>
      </w:r>
    </w:p>
    <w:p>
      <w:pPr>
        <w:spacing w:after="40"/>
        <w:ind w:left="864"/>
      </w:pPr>
      <w:r>
        <w:rPr>
          <w:rFonts w:ascii="Arial" w:hAnsi="Arial"/>
          <w:sz w:val="22"/>
        </w:rPr>
        <w:t>1.6.1 Annahme des Angebots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