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sz w:val="28"/>
        </w:rPr>
        <w:t>CONTENIDO</w:t>
      </w:r>
    </w:p>
    <w:p/>
    <w:p/>
    <w:p>
      <w:pPr>
        <w:spacing w:after="40"/>
        <w:ind w:left="0"/>
      </w:pPr>
      <w:r>
        <w:rPr>
          <w:rFonts w:ascii="Arial" w:hAnsi="Arial"/>
          <w:b/>
          <w:sz w:val="22"/>
        </w:rPr>
        <w:t>1 Return on Investment (ROI) Justification: Web Optimization &amp; GEO 2026</w:t>
      </w:r>
    </w:p>
    <w:p>
      <w:pPr>
        <w:spacing w:after="40"/>
        <w:ind w:left="432"/>
      </w:pPr>
      <w:r>
        <w:rPr>
          <w:rFonts w:ascii="Arial" w:hAnsi="Arial"/>
          <w:sz w:val="22"/>
        </w:rPr>
        <w:t>1.1 Why SEO and GEO are the Priority Investment</w:t>
      </w:r>
    </w:p>
    <w:p>
      <w:pPr>
        <w:spacing w:after="40"/>
        <w:ind w:left="432"/>
      </w:pPr>
      <w:r>
        <w:rPr>
          <w:rFonts w:ascii="Arial" w:hAnsi="Arial"/>
          <w:sz w:val="22"/>
        </w:rPr>
        <w:t>1.2 Short-Term Economic Impact (0 - 4 months)</w:t>
      </w:r>
    </w:p>
    <w:p>
      <w:pPr>
        <w:spacing w:after="40"/>
        <w:ind w:left="864"/>
      </w:pPr>
      <w:r>
        <w:rPr>
          <w:rFonts w:ascii="Arial" w:hAnsi="Arial"/>
          <w:sz w:val="22"/>
        </w:rPr>
        <w:t>1.2.1 Stopping Traffic Leaks (Technical SEO)</w:t>
      </w:r>
    </w:p>
    <w:p>
      <w:pPr>
        <w:spacing w:after="40"/>
        <w:ind w:left="1296"/>
      </w:pPr>
      <w:r>
        <w:rPr>
          <w:rFonts w:ascii="Arial" w:hAnsi="Arial"/>
          <w:sz w:val="22"/>
        </w:rPr>
        <w:t>1.2.1.1 Market Data:</w:t>
      </w:r>
    </w:p>
    <w:p>
      <w:pPr>
        <w:spacing w:after="40"/>
        <w:ind w:left="1296"/>
      </w:pPr>
      <w:r>
        <w:rPr>
          <w:rFonts w:ascii="Arial" w:hAnsi="Arial"/>
          <w:sz w:val="22"/>
        </w:rPr>
        <w:t>1.2.1.2 Impact:</w:t>
      </w:r>
    </w:p>
    <w:p>
      <w:pPr>
        <w:spacing w:after="40"/>
        <w:ind w:left="864"/>
      </w:pPr>
      <w:r>
        <w:rPr>
          <w:rFonts w:ascii="Arial" w:hAnsi="Arial"/>
          <w:sz w:val="22"/>
        </w:rPr>
        <w:t>1.2.2 Strategic Multi-Language Positioning</w:t>
      </w:r>
    </w:p>
    <w:p>
      <w:pPr>
        <w:spacing w:after="40"/>
        <w:ind w:left="1296"/>
      </w:pPr>
      <w:r>
        <w:rPr>
          <w:rFonts w:ascii="Arial" w:hAnsi="Arial"/>
          <w:sz w:val="22"/>
        </w:rPr>
        <w:t>1.2.2.1 Value:</w:t>
      </w:r>
    </w:p>
    <w:p>
      <w:pPr>
        <w:spacing w:after="40"/>
        <w:ind w:left="432"/>
      </w:pPr>
      <w:r>
        <w:rPr>
          <w:rFonts w:ascii="Arial" w:hAnsi="Arial"/>
          <w:sz w:val="22"/>
        </w:rPr>
        <w:t>1.3 Medium-Term Impact (4 - 12 months)</w:t>
      </w:r>
    </w:p>
    <w:p>
      <w:pPr>
        <w:spacing w:after="40"/>
        <w:ind w:left="864"/>
      </w:pPr>
      <w:r>
        <w:rPr>
          <w:rFonts w:ascii="Arial" w:hAnsi="Arial"/>
          <w:sz w:val="22"/>
        </w:rPr>
        <w:t>1.3.1 Dominance in AI Response Engines (GEO)</w:t>
      </w:r>
    </w:p>
    <w:p>
      <w:pPr>
        <w:spacing w:after="40"/>
        <w:ind w:left="1296"/>
      </w:pPr>
      <w:r>
        <w:rPr>
          <w:rFonts w:ascii="Arial" w:hAnsi="Arial"/>
          <w:sz w:val="22"/>
        </w:rPr>
        <w:t>1.3.1.1 Strategic Value:</w:t>
      </w:r>
    </w:p>
    <w:p>
      <w:pPr>
        <w:spacing w:after="40"/>
        <w:ind w:left="864"/>
      </w:pPr>
      <w:r>
        <w:rPr>
          <w:rFonts w:ascii="Arial" w:hAnsi="Arial"/>
          <w:sz w:val="22"/>
        </w:rPr>
        <w:t>1.3.2 Reduction in Customer Acquisition Costa (CAC)</w:t>
      </w:r>
    </w:p>
    <w:p>
      <w:pPr>
        <w:spacing w:after="40"/>
        <w:ind w:left="432"/>
      </w:pPr>
      <w:r>
        <w:rPr>
          <w:rFonts w:ascii="Arial" w:hAnsi="Arial"/>
          <w:sz w:val="22"/>
        </w:rPr>
        <w:t>1.4 Critical Requirement: Access to Creation Tools</w:t>
      </w:r>
    </w:p>
    <w:p>
      <w:pPr>
        <w:spacing w:after="40"/>
        <w:ind w:left="432"/>
      </w:pPr>
      <w:r>
        <w:rPr>
          <w:rFonts w:ascii="Arial" w:hAnsi="Arial"/>
          <w:sz w:val="22"/>
        </w:rPr>
        <w:t>1.5 Quantifying the Investment</w:t>
      </w:r>
    </w:p>
    <w:p>
      <w:pPr>
        <w:spacing w:after="40"/>
        <w:ind w:left="864"/>
      </w:pPr>
      <w:r>
        <w:rPr>
          <w:rFonts w:ascii="Arial" w:hAnsi="Arial"/>
          <w:sz w:val="22"/>
        </w:rPr>
        <w:t>1.5.1 Conclusion</w:t>
      </w:r>
    </w:p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