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spacing w:after="40"/>
        <w:ind w:left="0"/>
      </w:pPr>
      <w:r>
        <w:rPr>
          <w:rFonts w:ascii="Arial" w:hAnsi="Arial"/>
          <w:b/>
          <w:sz w:val="22"/>
        </w:rPr>
        <w:t>1 Justificación del Retorno de Inversión (ROI): Optimización Web y GEO 2026</w:t>
      </w:r>
    </w:p>
    <w:p>
      <w:pPr>
        <w:spacing w:after="40"/>
        <w:ind w:left="432"/>
      </w:pPr>
      <w:r>
        <w:rPr>
          <w:rFonts w:ascii="Arial" w:hAnsi="Arial"/>
          <w:sz w:val="22"/>
        </w:rPr>
        <w:t>1.1 Por qué el SEO y la GEO son la Inversión Prioritaria</w:t>
      </w:r>
    </w:p>
    <w:p>
      <w:pPr>
        <w:spacing w:after="40"/>
        <w:ind w:left="432"/>
      </w:pPr>
      <w:r>
        <w:rPr>
          <w:rFonts w:ascii="Arial" w:hAnsi="Arial"/>
          <w:sz w:val="22"/>
        </w:rPr>
        <w:t>1.2 Impacto Económico a Corto Plazo (0 - 4 meses)</w:t>
      </w:r>
    </w:p>
    <w:p>
      <w:pPr>
        <w:spacing w:after="40"/>
        <w:ind w:left="864"/>
      </w:pPr>
      <w:r>
        <w:rPr>
          <w:rFonts w:ascii="Arial" w:hAnsi="Arial"/>
          <w:sz w:val="22"/>
        </w:rPr>
        <w:t>1.2.1 Corrección de Fugas de Tráfico (SEO Técnico)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1.2.1.1 Dato de Mercado: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1.2.1.2 Impacto:</w:t>
      </w:r>
    </w:p>
    <w:p>
      <w:pPr>
        <w:spacing w:after="40"/>
        <w:ind w:left="864"/>
      </w:pPr>
      <w:r>
        <w:rPr>
          <w:rFonts w:ascii="Arial" w:hAnsi="Arial"/>
          <w:sz w:val="22"/>
        </w:rPr>
        <w:t>1.2.2 Posicionamiento en Idiomas Estratégicos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1.2.2.1 Valor:</w:t>
      </w:r>
    </w:p>
    <w:p>
      <w:pPr>
        <w:spacing w:after="40"/>
        <w:ind w:left="432"/>
      </w:pPr>
      <w:r>
        <w:rPr>
          <w:rFonts w:ascii="Arial" w:hAnsi="Arial"/>
          <w:sz w:val="22"/>
        </w:rPr>
        <w:t>1.3 Impacto a Medio Plazo (4 - 12 meses)</w:t>
      </w:r>
    </w:p>
    <w:p>
      <w:pPr>
        <w:spacing w:after="40"/>
        <w:ind w:left="864"/>
      </w:pPr>
      <w:r>
        <w:rPr>
          <w:rFonts w:ascii="Arial" w:hAnsi="Arial"/>
          <w:sz w:val="22"/>
        </w:rPr>
        <w:t>1.3.1 Dominio en Motores de Respuesta IA (GEO)</w:t>
      </w:r>
    </w:p>
    <w:p>
      <w:pPr>
        <w:spacing w:after="40"/>
        <w:ind w:left="1296"/>
      </w:pPr>
      <w:r>
        <w:rPr>
          <w:rFonts w:ascii="Arial" w:hAnsi="Arial"/>
          <w:sz w:val="22"/>
        </w:rPr>
        <w:t>1.3.1.1 Valor Estratégico:</w:t>
      </w:r>
    </w:p>
    <w:p>
      <w:pPr>
        <w:spacing w:after="40"/>
        <w:ind w:left="864"/>
      </w:pPr>
      <w:r>
        <w:rPr>
          <w:rFonts w:ascii="Arial" w:hAnsi="Arial"/>
          <w:sz w:val="22"/>
        </w:rPr>
        <w:t>1.3.2 Reducción de Costes de Adquisición (CAC)</w:t>
      </w:r>
    </w:p>
    <w:p>
      <w:pPr>
        <w:spacing w:after="40"/>
        <w:ind w:left="432"/>
      </w:pPr>
      <w:r>
        <w:rPr>
          <w:rFonts w:ascii="Arial" w:hAnsi="Arial"/>
          <w:sz w:val="22"/>
        </w:rPr>
        <w:t>1.4 Requisito Crítico: Acceso a Herramientas de Creación</w:t>
      </w:r>
    </w:p>
    <w:p>
      <w:pPr>
        <w:spacing w:after="40"/>
        <w:ind w:left="432"/>
      </w:pPr>
      <w:r>
        <w:rPr>
          <w:rFonts w:ascii="Arial" w:hAnsi="Arial"/>
          <w:sz w:val="22"/>
        </w:rPr>
        <w:t>1.5 Cuantificación de la Inversión</w:t>
      </w:r>
    </w:p>
    <w:p>
      <w:pPr>
        <w:spacing w:after="40"/>
        <w:ind w:left="864"/>
      </w:pPr>
      <w:r>
        <w:rPr>
          <w:rFonts w:ascii="Arial" w:hAnsi="Arial"/>
          <w:sz w:val="22"/>
        </w:rPr>
        <w:t>1.5.1 Conclusión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