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spacing w:after="40"/>
        <w:ind w:left="0"/>
      </w:pPr>
      <w:r>
        <w:rPr>
          <w:rFonts w:ascii="Arial" w:hAnsi="Arial"/>
          <w:b/>
          <w:sz w:val="22"/>
        </w:rPr>
        <w:t>1 Rechtfertigung des Return on Investment (ROI): Web-Optimierung &amp; GEO 2026</w:t>
      </w:r>
    </w:p>
    <w:p>
      <w:pPr>
        <w:spacing w:after="40"/>
        <w:ind w:left="432"/>
      </w:pPr>
      <w:r>
        <w:rPr>
          <w:rFonts w:ascii="Arial" w:hAnsi="Arial"/>
          <w:sz w:val="22"/>
        </w:rPr>
        <w:t>1.1 Warum SEO und GEO die vorrangige Investition sind</w:t>
      </w:r>
    </w:p>
    <w:p>
      <w:pPr>
        <w:spacing w:after="40"/>
        <w:ind w:left="432"/>
      </w:pPr>
      <w:r>
        <w:rPr>
          <w:rFonts w:ascii="Arial" w:hAnsi="Arial"/>
          <w:sz w:val="22"/>
        </w:rPr>
        <w:t>1.2 Kurzfristige wirtschaftliche Auswirkungen (0 - 4 Monate)</w:t>
      </w:r>
    </w:p>
    <w:p>
      <w:pPr>
        <w:spacing w:after="40"/>
        <w:ind w:left="864"/>
      </w:pPr>
      <w:r>
        <w:rPr>
          <w:rFonts w:ascii="Arial" w:hAnsi="Arial"/>
          <w:sz w:val="22"/>
        </w:rPr>
        <w:t>1.2.1 Behebung von Traffic-Verlusten (Technisches SEO)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1.2.1.1 Marktdaten: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1.2.1.2 Auswirkung:</w:t>
      </w:r>
    </w:p>
    <w:p>
      <w:pPr>
        <w:spacing w:after="40"/>
        <w:ind w:left="864"/>
      </w:pPr>
      <w:r>
        <w:rPr>
          <w:rFonts w:ascii="Arial" w:hAnsi="Arial"/>
          <w:sz w:val="22"/>
        </w:rPr>
        <w:t>1.2.2 Strategische mehrsprachige Positionierung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1.2.2.1 Wert:</w:t>
      </w:r>
    </w:p>
    <w:p>
      <w:pPr>
        <w:spacing w:after="40"/>
        <w:ind w:left="432"/>
      </w:pPr>
      <w:r>
        <w:rPr>
          <w:rFonts w:ascii="Arial" w:hAnsi="Arial"/>
          <w:sz w:val="22"/>
        </w:rPr>
        <w:t>1.3 Mittelfristige Auswirkungen (4 - 12 Monate)</w:t>
      </w:r>
    </w:p>
    <w:p>
      <w:pPr>
        <w:spacing w:after="40"/>
        <w:ind w:left="864"/>
      </w:pPr>
      <w:r>
        <w:rPr>
          <w:rFonts w:ascii="Arial" w:hAnsi="Arial"/>
          <w:sz w:val="22"/>
        </w:rPr>
        <w:t>1.3.1 Dominanz in KI-Antwortmaschinen (GEO)</w:t>
      </w:r>
    </w:p>
    <w:p>
      <w:pPr>
        <w:spacing w:after="40"/>
        <w:ind w:left="1296"/>
      </w:pPr>
      <w:r>
        <w:rPr>
          <w:rFonts w:ascii="Arial" w:hAnsi="Arial"/>
          <w:sz w:val="22"/>
        </w:rPr>
        <w:t>1.3.1.1 Strategischer Wert:</w:t>
      </w:r>
    </w:p>
    <w:p>
      <w:pPr>
        <w:spacing w:after="40"/>
        <w:ind w:left="864"/>
      </w:pPr>
      <w:r>
        <w:rPr>
          <w:rFonts w:ascii="Arial" w:hAnsi="Arial"/>
          <w:sz w:val="22"/>
        </w:rPr>
        <w:t>1.3.2 Senkung der Kundenakquisitionskosten (CAC)</w:t>
      </w:r>
    </w:p>
    <w:p>
      <w:pPr>
        <w:spacing w:after="40"/>
        <w:ind w:left="432"/>
      </w:pPr>
      <w:r>
        <w:rPr>
          <w:rFonts w:ascii="Arial" w:hAnsi="Arial"/>
          <w:sz w:val="22"/>
        </w:rPr>
        <w:t>1.4 Kritische Anforderung: Zugang zu Erstellungswerkzeugen</w:t>
      </w:r>
    </w:p>
    <w:p>
      <w:pPr>
        <w:spacing w:after="40"/>
        <w:ind w:left="432"/>
      </w:pPr>
      <w:r>
        <w:rPr>
          <w:rFonts w:ascii="Arial" w:hAnsi="Arial"/>
          <w:sz w:val="22"/>
        </w:rPr>
        <w:t>1.5 Quantifizierung der Investition</w:t>
      </w:r>
    </w:p>
    <w:p>
      <w:pPr>
        <w:spacing w:after="40"/>
        <w:ind w:left="864"/>
      </w:pPr>
      <w:r>
        <w:rPr>
          <w:rFonts w:ascii="Arial" w:hAnsi="Arial"/>
          <w:sz w:val="22"/>
        </w:rPr>
        <w:t>1.5.1 Fazit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