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INHALTSVERZEICHNIS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Gegenstand des Anhangs</w:t>
      </w:r>
    </w:p>
    <w:p>
      <w:pPr>
        <w:spacing w:before="200" w:after="400"/>
      </w:pPr>
      <w:r>
        <w:rPr>
          <w:i/>
          <w:iCs/>
          <w:color w:val="666666"/>
        </w:rPr>
        <w:t xml:space="preserve">Definition spezifischer Zusatzleistungen.</w:t>
      </w:r>
    </w:p>
    <w:p>
      <w:pPr>
        <w:pStyle w:val="Heading1"/>
      </w:pPr>
      <w:r>
        <w:rPr>
          <w:b/>
          <w:bCs/>
        </w:rPr>
        <w:t xml:space="preserve">2. Wirtschaftliche Bedingungen</w:t>
      </w:r>
    </w:p>
    <w:p>
      <w:pPr>
        <w:spacing w:before="200" w:after="400"/>
      </w:pPr>
      <w:r>
        <w:rPr>
          <w:i/>
          <w:iCs/>
          <w:color w:val="666666"/>
        </w:rPr>
        <w:t xml:space="preserve">Detail der Gebühren und Zahlungsmethoden.</w:t>
      </w:r>
    </w:p>
    <w:p>
      <w:pPr>
        <w:pStyle w:val="Heading1"/>
      </w:pPr>
      <w:r>
        <w:rPr>
          <w:b/>
          <w:bCs/>
        </w:rPr>
        <w:t xml:space="preserve">3. Gültigkeit und Kündigung</w:t>
      </w:r>
    </w:p>
    <w:p>
      <w:pPr>
        <w:spacing w:before="200" w:after="400"/>
      </w:pPr>
      <w:r>
        <w:rPr>
          <w:i/>
          <w:iCs/>
          <w:color w:val="666666"/>
        </w:rPr>
        <w:t xml:space="preserve">Vertragslaufzeiten und Austrittsbedingungen.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zgzugvmwactxyckmv5ny-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osqauw7fo4h48apu4oxz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2026-02-05T20:41:40.409Z</dcterms:created>
  <dcterms:modified xsi:type="dcterms:W3CDTF">2026-02-05T20:41:40.409Z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