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INDEX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Object of the Annex</w:t>
      </w:r>
    </w:p>
    <w:p>
      <w:pPr>
        <w:spacing w:before="200" w:after="400"/>
      </w:pPr>
      <w:r>
        <w:rPr>
          <w:i/>
          <w:iCs/>
          <w:color w:val="666666"/>
        </w:rPr>
        <w:t xml:space="preserve">Definition of specific additional services.</w:t>
      </w:r>
    </w:p>
    <w:p>
      <w:pPr>
        <w:pStyle w:val="Heading1"/>
      </w:pPr>
      <w:r>
        <w:rPr>
          <w:b/>
          <w:bCs/>
        </w:rPr>
        <w:t xml:space="preserve">2. Economic Conditions</w:t>
      </w:r>
    </w:p>
    <w:p>
      <w:pPr>
        <w:spacing w:before="200" w:after="400"/>
      </w:pPr>
      <w:r>
        <w:rPr>
          <w:i/>
          <w:iCs/>
          <w:color w:val="666666"/>
        </w:rPr>
        <w:t xml:space="preserve">Detail of fees and payment methods.</w:t>
      </w:r>
    </w:p>
    <w:p>
      <w:pPr>
        <w:pStyle w:val="Heading1"/>
      </w:pPr>
      <w:r>
        <w:rPr>
          <w:b/>
          <w:bCs/>
        </w:rPr>
        <w:t xml:space="preserve">3. Validity and Termination</w:t>
      </w:r>
    </w:p>
    <w:p>
      <w:pPr>
        <w:spacing w:before="200" w:after="400"/>
      </w:pPr>
      <w:r>
        <w:rPr>
          <w:i/>
          <w:iCs/>
          <w:color w:val="666666"/>
        </w:rPr>
        <w:t xml:space="preserve">Contractual terms and exit conditions.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kkg9stluvstdr9v7vnvb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qh2ykhpe7ys6fjpiyhw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2026-02-05T20:41:40.193Z</dcterms:created>
  <dcterms:modified xsi:type="dcterms:W3CDTF">2026-02-05T20:41:40.193Z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