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Objeto del Anexo</w:t>
      </w:r>
    </w:p>
    <w:p>
      <w:pPr>
        <w:spacing w:before="200" w:after="400"/>
      </w:pPr>
      <w:r>
        <w:rPr>
          <w:i/>
          <w:iCs/>
          <w:color w:val="666666"/>
        </w:rPr>
        <w:t xml:space="preserve">Definición de servicios específicos adicionales.</w:t>
      </w:r>
    </w:p>
    <w:p>
      <w:pPr>
        <w:pStyle w:val="Heading1"/>
      </w:pPr>
      <w:r>
        <w:rPr>
          <w:b/>
          <w:bCs/>
        </w:rPr>
        <w:t xml:space="preserve">2. Condiciones Económicas</w:t>
      </w:r>
    </w:p>
    <w:p>
      <w:pPr>
        <w:spacing w:before="200" w:after="400"/>
      </w:pPr>
      <w:r>
        <w:rPr>
          <w:i/>
          <w:iCs/>
          <w:color w:val="666666"/>
        </w:rPr>
        <w:t xml:space="preserve">Detalle de honorarios y formas de pago.</w:t>
      </w:r>
    </w:p>
    <w:p>
      <w:pPr>
        <w:pStyle w:val="Heading1"/>
      </w:pPr>
      <w:r>
        <w:rPr>
          <w:b/>
          <w:bCs/>
        </w:rPr>
        <w:t xml:space="preserve">3. Vigencia y Rescisión</w:t>
      </w:r>
    </w:p>
    <w:p>
      <w:pPr>
        <w:spacing w:before="200" w:after="400"/>
      </w:pPr>
      <w:r>
        <w:rPr>
          <w:i/>
          <w:iCs/>
          <w:color w:val="666666"/>
        </w:rPr>
        <w:t xml:space="preserve">Plazos contractuales y condiciones de salida.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p1sl3uckf47zbkii7rth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suw-mtl2ax5dshyg9mjet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2026-02-05T20:41:39.945Z</dcterms:created>
  <dcterms:modified xsi:type="dcterms:W3CDTF">2026-02-05T20:41:39.945Z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