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INHALTSVERZEICHNIS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Umfang der Beratung</w:t>
      </w:r>
    </w:p>
    <w:p>
      <w:pPr>
        <w:spacing w:before="200" w:after="400"/>
      </w:pPr>
      <w:r>
        <w:rPr>
          <w:i/>
          <w:iCs/>
          <w:color w:val="666666"/>
        </w:rPr>
        <w:t xml:space="preserve">Interventionsbereiche und abgedeckte Technologien.</w:t>
      </w:r>
    </w:p>
    <w:p>
      <w:pPr>
        <w:pStyle w:val="Heading1"/>
      </w:pPr>
      <w:r>
        <w:rPr>
          <w:b/>
          <w:bCs/>
        </w:rPr>
        <w:t xml:space="preserve">2. Arbeitsmethodik</w:t>
      </w:r>
    </w:p>
    <w:p>
      <w:pPr>
        <w:spacing w:before="200" w:after="400"/>
      </w:pPr>
      <w:r>
        <w:rPr>
          <w:i/>
          <w:iCs/>
          <w:color w:val="666666"/>
        </w:rPr>
        <w:t xml:space="preserve">Agiler Ansatz und Lieferphasen.</w:t>
      </w:r>
    </w:p>
    <w:p>
      <w:pPr>
        <w:pStyle w:val="Heading1"/>
      </w:pPr>
      <w:r>
        <w:rPr>
          <w:b/>
          <w:bCs/>
        </w:rPr>
        <w:t xml:space="preserve">3. Erwartete Ergebnisse</w:t>
      </w:r>
    </w:p>
    <w:p>
      <w:pPr>
        <w:spacing w:before="200" w:after="400"/>
      </w:pPr>
      <w:r>
        <w:rPr>
          <w:i/>
          <w:iCs/>
          <w:color w:val="666666"/>
        </w:rPr>
        <w:t xml:space="preserve">Abschlussdokumentation und Vermögenswerte.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j3x-mshiuawoick1gq-tu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10hsndoryn3-pkx5_x4q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2026-02-05T20:41:41.146Z</dcterms:created>
  <dcterms:modified xsi:type="dcterms:W3CDTF">2026-02-05T20:41:41.146Z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