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INDEX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Scope of Consultancy</w:t>
      </w:r>
    </w:p>
    <w:p>
      <w:pPr>
        <w:spacing w:before="200" w:after="400"/>
      </w:pPr>
      <w:r>
        <w:rPr>
          <w:i/>
          <w:iCs/>
          <w:color w:val="666666"/>
        </w:rPr>
        <w:t xml:space="preserve">Areas of intervention and technologies covered.</w:t>
      </w:r>
    </w:p>
    <w:p>
      <w:pPr>
        <w:pStyle w:val="Heading1"/>
      </w:pPr>
      <w:r>
        <w:rPr>
          <w:b/>
          <w:bCs/>
        </w:rPr>
        <w:t xml:space="preserve">2. Work Methodology</w:t>
      </w:r>
    </w:p>
    <w:p>
      <w:pPr>
        <w:spacing w:before="200" w:after="400"/>
      </w:pPr>
      <w:r>
        <w:rPr>
          <w:i/>
          <w:iCs/>
          <w:color w:val="666666"/>
        </w:rPr>
        <w:t xml:space="preserve">Agile approach and delivery phases.</w:t>
      </w:r>
    </w:p>
    <w:p>
      <w:pPr>
        <w:pStyle w:val="Heading1"/>
      </w:pPr>
      <w:r>
        <w:rPr>
          <w:b/>
          <w:bCs/>
        </w:rPr>
        <w:t xml:space="preserve">3. Expected Deliverables</w:t>
      </w:r>
    </w:p>
    <w:p>
      <w:pPr>
        <w:spacing w:before="200" w:after="400"/>
      </w:pPr>
      <w:r>
        <w:rPr>
          <w:i/>
          <w:iCs/>
          <w:color w:val="666666"/>
        </w:rPr>
        <w:t xml:space="preserve">Final documentation and assets.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no571vn5idm-eqjnegtbl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ha_7cph5erqpf6eger09m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2026-02-05T20:41:40.893Z</dcterms:created>
  <dcterms:modified xsi:type="dcterms:W3CDTF">2026-02-05T20:41:40.893Z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