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nchsln5jqapn" w:id="0"/>
      <w:bookmarkEnd w:id="0"/>
      <w:r w:rsidDel="00000000" w:rsidR="00000000" w:rsidRPr="00000000">
        <w:rPr>
          <w:rtl w:val="0"/>
        </w:rPr>
        <w:t xml:space="preserve">Guía Educativa: El Reglamento de IA de la UE y la Nueva Responsabilidad Digital</w:t>
      </w:r>
    </w:p>
    <w:p w:rsidR="00000000" w:rsidDel="00000000" w:rsidP="00000000" w:rsidRDefault="00000000" w:rsidRPr="00000000" w14:paraId="00000002">
      <w:pPr>
        <w:rPr/>
      </w:pPr>
      <w:r w:rsidDel="00000000" w:rsidR="00000000" w:rsidRPr="00000000">
        <w:rPr>
          <w:rtl w:val="0"/>
        </w:rPr>
        <w:t xml:space="preserve">Esta guía, diseñada para los futuros guardianes del derecho y la tecnología, desglosa el nuevo marco normativo de la Unión Europea. En un entorno donde la automatización ya no es opcional, entender la gobernanza no es solo una cuestión de cumplimiento, sino de excelencia profesional y supervivencia empresarial.</w:t>
      </w:r>
    </w:p>
    <w:p w:rsidR="00000000" w:rsidDel="00000000" w:rsidP="00000000" w:rsidRDefault="00000000" w:rsidRPr="00000000" w14:paraId="00000003">
      <w:pPr>
        <w:pStyle w:val="Heading4"/>
        <w:rPr/>
      </w:pPr>
      <w:bookmarkStart w:colFirst="0" w:colLast="0" w:name="_h3ukfzl4n8i9" w:id="1"/>
      <w:bookmarkEnd w:id="1"/>
      <w:r w:rsidDel="00000000" w:rsidR="00000000" w:rsidRPr="00000000">
        <w:rPr>
          <w:rtl w:val="0"/>
        </w:rPr>
        <w:t xml:space="preserve">1. Introducción: El Mito de la Automatización Perfecta</w:t>
      </w:r>
    </w:p>
    <w:p w:rsidR="00000000" w:rsidDel="00000000" w:rsidP="00000000" w:rsidRDefault="00000000" w:rsidRPr="00000000" w14:paraId="00000004">
      <w:pPr>
        <w:rPr/>
      </w:pPr>
      <w:r w:rsidDel="00000000" w:rsidR="00000000" w:rsidRPr="00000000">
        <w:rPr>
          <w:rtl w:val="0"/>
        </w:rPr>
        <w:t xml:space="preserve">La implementación de la Inteligencia Artificial suele venderse como una solución de "configurar y olvidar". Sin embargo, la realidad técnica dicta lo contrario. Consideremos el  </w:t>
      </w:r>
      <w:r w:rsidDel="00000000" w:rsidR="00000000" w:rsidRPr="00000000">
        <w:rPr>
          <w:b w:val="1"/>
          <w:bCs w:val="1"/>
          <w:rtl w:val="0"/>
        </w:rPr>
        <w:t xml:space="preserve">experimento n8n</w:t>
      </w:r>
      <w:r w:rsidDel="00000000" w:rsidR="00000000" w:rsidRPr="00000000">
        <w:rPr>
          <w:rtl w:val="0"/>
        </w:rPr>
        <w:t xml:space="preserve"> : un flujo de trabajo diseñado para enviar 750 correos electrónicos personalizados utilizando datos de un CRM. En solo 40 minutos, el sistema procesó la cola con una eficiencia aparente del 100%. El desastre llegó con las respuestas.En un  </w:t>
      </w:r>
      <w:r w:rsidDel="00000000" w:rsidR="00000000" w:rsidRPr="00000000">
        <w:rPr>
          <w:b w:val="1"/>
          <w:bCs w:val="1"/>
          <w:rtl w:val="0"/>
        </w:rPr>
        <w:t xml:space="preserve">2% de los casos</w:t>
      </w:r>
      <w:r w:rsidDel="00000000" w:rsidR="00000000" w:rsidRPr="00000000">
        <w:rPr>
          <w:rtl w:val="0"/>
        </w:rPr>
        <w:t xml:space="preserve"> , la IA sufrió lo que conocemos como  </w:t>
      </w:r>
      <w:r w:rsidDel="00000000" w:rsidR="00000000" w:rsidRPr="00000000">
        <w:rPr>
          <w:b w:val="1"/>
          <w:bCs w:val="1"/>
          <w:rtl w:val="0"/>
        </w:rPr>
        <w:t xml:space="preserve">alucinación</w:t>
      </w:r>
      <w:r w:rsidDel="00000000" w:rsidR="00000000" w:rsidRPr="00000000">
        <w:rPr>
          <w:rtl w:val="0"/>
        </w:rPr>
        <w:t xml:space="preserve"> : inventó cargos inexistentes, ciudades de origen falsas y aficiones aleatorias que jamás estuvieron en la base de datos. Estos "pequeños delirios" técnicos son síntomas de un riesgo sistémico. Sin guardarraíles legales y técnicos, la IA no es una herramienta de productividad, sino una fuente de responsabilidad civil y penal. La negligencia en la supervisión de estos modelos es el camino más rápido hacia la ruina reputacional.</w:t>
      </w:r>
    </w:p>
    <w:p w:rsidR="00000000" w:rsidDel="00000000" w:rsidP="00000000" w:rsidRDefault="00000000" w:rsidRPr="00000000" w14:paraId="00000005">
      <w:pPr>
        <w:pStyle w:val="Heading4"/>
        <w:rPr/>
      </w:pPr>
      <w:bookmarkStart w:colFirst="0" w:colLast="0" w:name="_2lenib9s4xts" w:id="2"/>
      <w:bookmarkEnd w:id="2"/>
      <w:r w:rsidDel="00000000" w:rsidR="00000000" w:rsidRPr="00000000">
        <w:rPr>
          <w:rtl w:val="0"/>
        </w:rPr>
        <w:t xml:space="preserve">2. Los "Chernóbiles Digitales": Por qué necesitamos reglas</w:t>
      </w:r>
    </w:p>
    <w:p w:rsidR="00000000" w:rsidDel="00000000" w:rsidP="00000000" w:rsidRDefault="00000000" w:rsidRPr="00000000" w14:paraId="00000006">
      <w:pPr>
        <w:rPr/>
      </w:pPr>
      <w:r w:rsidDel="00000000" w:rsidR="00000000" w:rsidRPr="00000000">
        <w:rPr>
          <w:rtl w:val="0"/>
        </w:rPr>
        <w:t xml:space="preserve">La regulación no nace de la burocracia, sino de la necesidad de contener fallos catastróficos. Los siguientes casos de estudio ilustran que la IA nunca actúa en un vacío legal:</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El Chatbot de Air Canada:</w:t>
      </w:r>
      <w:r w:rsidDel="00000000" w:rsidR="00000000" w:rsidRPr="00000000">
        <w:rPr>
          <w:rtl w:val="0"/>
        </w:rPr>
        <w:t xml:space="preserve">  Un asistente virtual inventó una política de reembolsos inexistente. Ante el tribunal, la aerolínea intentó argumentar que "la IA era responsable de sus propios dichos". El tribunal rechazó categóricamente esta defensa, sentando un precedente vital:  </w:t>
      </w:r>
      <w:r w:rsidDel="00000000" w:rsidR="00000000" w:rsidRPr="00000000">
        <w:rPr>
          <w:b w:val="1"/>
          <w:bCs w:val="1"/>
          <w:rtl w:val="0"/>
        </w:rPr>
        <w:t xml:space="preserve">usted es legalmente responsable de las alucinaciones de su sistema</w:t>
      </w:r>
      <w:r w:rsidDel="00000000" w:rsidR="00000000" w:rsidRPr="00000000">
        <w:rPr>
          <w:rtl w:val="0"/>
        </w:rPr>
        <w:t xml:space="preserve"> .</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rtl w:val="0"/>
        </w:rPr>
        <w:t xml:space="preserve">Willy Wonka en Glasgow:</w:t>
      </w:r>
      <w:r w:rsidDel="00000000" w:rsidR="00000000" w:rsidRPr="00000000">
        <w:rPr>
          <w:rtl w:val="0"/>
        </w:rPr>
        <w:t xml:space="preserve">  El uso de imágenes sintéticas engañosas para promocionar un evento que resultó ser un almacén vacío provocó denuncias masivas y la intervención policial. La lección es clara: el contenido generado por IA que induce a error genera responsabilidad por publicidad engañosa y fraude.</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Google Gemini (Sesgos):</w:t>
      </w:r>
      <w:r w:rsidDel="00000000" w:rsidR="00000000" w:rsidRPr="00000000">
        <w:rPr>
          <w:rtl w:val="0"/>
        </w:rPr>
        <w:t xml:space="preserve">  La suspensión de su generación de imágenes por representaciones históricamente incorrectas demostró que los sesgos algorítmicos no son solo errores técnicos, sino fallos de gobernanza que pueden destruir el valor de mercado de una tecnológica en horas.</w:t>
      </w:r>
      <w:r w:rsidDel="00000000" w:rsidR="00000000" w:rsidRPr="00000000">
        <w:rPr>
          <w:b w:val="1"/>
          <w:bCs w:val="1"/>
          <w:rtl w:val="0"/>
        </w:rPr>
        <w:t xml:space="preserve">Lección Principal:</w:t>
      </w:r>
      <w:r w:rsidDel="00000000" w:rsidR="00000000" w:rsidRPr="00000000">
        <w:rPr>
          <w:rtl w:val="0"/>
        </w:rPr>
        <w:t xml:space="preserve">  El resultado de la IA es responsabilidad legal del humano o la empresa que la despliega. La gobernanza es el único escudo ante estos "Chernóbiles" de datos.</w:t>
      </w:r>
    </w:p>
    <w:p w:rsidR="00000000" w:rsidDel="00000000" w:rsidP="00000000" w:rsidRDefault="00000000" w:rsidRPr="00000000" w14:paraId="0000000A">
      <w:pPr>
        <w:pStyle w:val="Heading4"/>
        <w:rPr/>
      </w:pPr>
      <w:bookmarkStart w:colFirst="0" w:colLast="0" w:name="_37au4rdmzlgl" w:id="3"/>
      <w:bookmarkEnd w:id="3"/>
      <w:r w:rsidDel="00000000" w:rsidR="00000000" w:rsidRPr="00000000">
        <w:rPr>
          <w:rtl w:val="0"/>
        </w:rPr>
        <w:t xml:space="preserve">3. La Pirámide de Riesgos del Reglamento de IA de la UE</w:t>
      </w:r>
    </w:p>
    <w:p w:rsidR="00000000" w:rsidDel="00000000" w:rsidP="00000000" w:rsidRDefault="00000000" w:rsidRPr="00000000" w14:paraId="0000000B">
      <w:pPr>
        <w:rPr/>
      </w:pPr>
      <w:r w:rsidDel="00000000" w:rsidR="00000000" w:rsidRPr="00000000">
        <w:rPr>
          <w:rtl w:val="0"/>
        </w:rPr>
        <w:t xml:space="preserve">El Reglamento de IA (AI Act) clasifica los sistemas según su impacto en los derechos fundamentales. Como expertos, debemos memorizar estas fechas críticas de cumplimiento:| Nivel de Riesgo | Definición | Ejemplos Reales | Obligación Principal || ------ | ------ | ------ | ------ || </w:t>
      </w:r>
      <w:r w:rsidDel="00000000" w:rsidR="00000000" w:rsidRPr="00000000">
        <w:rPr>
          <w:b w:val="1"/>
          <w:bCs w:val="1"/>
          <w:rtl w:val="0"/>
        </w:rPr>
        <w:t xml:space="preserve">Riesgo Prohibido</w:t>
      </w:r>
      <w:r w:rsidDel="00000000" w:rsidR="00000000" w:rsidRPr="00000000">
        <w:rPr>
          <w:rtl w:val="0"/>
        </w:rPr>
        <w:t xml:space="preserve"> | Sistemas que vulneran derechos fundamentales o manipulan el comportamiento. | Social scoring, vigilancia biométrica masiva, manipulación subliminal. | </w:t>
      </w:r>
      <w:r w:rsidDel="00000000" w:rsidR="00000000" w:rsidRPr="00000000">
        <w:rPr>
          <w:b w:val="1"/>
          <w:bCs w:val="1"/>
          <w:rtl w:val="0"/>
        </w:rPr>
        <w:t xml:space="preserve">Prohibición Total</w:t>
      </w:r>
      <w:r w:rsidDel="00000000" w:rsidR="00000000" w:rsidRPr="00000000">
        <w:rPr>
          <w:rtl w:val="0"/>
        </w:rPr>
        <w:t xml:space="preserve">  a partir del  </w:t>
      </w:r>
      <w:r w:rsidDel="00000000" w:rsidR="00000000" w:rsidRPr="00000000">
        <w:rPr>
          <w:b w:val="1"/>
          <w:bCs w:val="1"/>
          <w:rtl w:val="0"/>
        </w:rPr>
        <w:t xml:space="preserve">2 de febrero de 2025</w:t>
      </w:r>
      <w:r w:rsidDel="00000000" w:rsidR="00000000" w:rsidRPr="00000000">
        <w:rPr>
          <w:rtl w:val="0"/>
        </w:rPr>
        <w:t xml:space="preserve"> . || </w:t>
      </w:r>
      <w:r w:rsidDel="00000000" w:rsidR="00000000" w:rsidRPr="00000000">
        <w:rPr>
          <w:b w:val="1"/>
          <w:bCs w:val="1"/>
          <w:rtl w:val="0"/>
        </w:rPr>
        <w:t xml:space="preserve">Riesgo Alto</w:t>
      </w:r>
      <w:r w:rsidDel="00000000" w:rsidR="00000000" w:rsidRPr="00000000">
        <w:rPr>
          <w:rtl w:val="0"/>
        </w:rPr>
        <w:t xml:space="preserve"> | Sistemas con impacto crítico en la vida, salud o economía. | Algoritmos de contratación, concesión de créditos, gestión de infraestructuras. | Registro en la UE, auditorías estrictas y supervisión humana (agosto 2026/2027). || </w:t>
      </w:r>
      <w:r w:rsidDel="00000000" w:rsidR="00000000" w:rsidRPr="00000000">
        <w:rPr>
          <w:b w:val="1"/>
          <w:bCs w:val="1"/>
          <w:rtl w:val="0"/>
        </w:rPr>
        <w:t xml:space="preserve">Riesgo Limitado</w:t>
      </w:r>
      <w:r w:rsidDel="00000000" w:rsidR="00000000" w:rsidRPr="00000000">
        <w:rPr>
          <w:rtl w:val="0"/>
        </w:rPr>
        <w:t xml:space="preserve"> | Sistemas que interactúan con humanos o generan contenido sintético. | Chatbots, generadores de imágenes, deepfakes. | </w:t>
      </w:r>
      <w:r w:rsidDel="00000000" w:rsidR="00000000" w:rsidRPr="00000000">
        <w:rPr>
          <w:b w:val="1"/>
          <w:bCs w:val="1"/>
          <w:rtl w:val="0"/>
        </w:rPr>
        <w:t xml:space="preserve">Transparencia obligatoria (YA aplicable)</w:t>
      </w:r>
      <w:r w:rsidDel="00000000" w:rsidR="00000000" w:rsidRPr="00000000">
        <w:rPr>
          <w:rtl w:val="0"/>
        </w:rPr>
        <w:t xml:space="preserve"> . || </w:t>
      </w:r>
      <w:r w:rsidDel="00000000" w:rsidR="00000000" w:rsidRPr="00000000">
        <w:rPr>
          <w:b w:val="1"/>
          <w:bCs w:val="1"/>
          <w:rtl w:val="0"/>
        </w:rPr>
        <w:t xml:space="preserve">Riesgo Mínimo</w:t>
      </w:r>
      <w:r w:rsidDel="00000000" w:rsidR="00000000" w:rsidRPr="00000000">
        <w:rPr>
          <w:rtl w:val="0"/>
        </w:rPr>
        <w:t xml:space="preserve"> | Aplicaciones con impacto nulo o muy bajo. | Filtros de spam, videojuegos. | Sin obligaciones adicionales. |</w:t>
      </w:r>
    </w:p>
    <w:p w:rsidR="00000000" w:rsidDel="00000000" w:rsidP="00000000" w:rsidRDefault="00000000" w:rsidRPr="00000000" w14:paraId="0000000C">
      <w:pPr>
        <w:rPr/>
      </w:pPr>
      <w:r w:rsidDel="00000000" w:rsidR="00000000" w:rsidRPr="00000000">
        <w:rPr>
          <w:b w:val="1"/>
          <w:bCs w:val="1"/>
          <w:rtl w:val="0"/>
        </w:rPr>
        <w:t xml:space="preserve">Modelos GPAI (IA de Propósito General):</w:t>
      </w:r>
      <w:r w:rsidDel="00000000" w:rsidR="00000000" w:rsidRPr="00000000">
        <w:rPr>
          <w:rtl w:val="0"/>
        </w:rPr>
        <w:t xml:space="preserve">  Los desarrolladores de modelos como GPT-4 o Gemini deben cumplir con obligaciones de transparencia sobre los datos de entrenamiento a partir del  </w:t>
      </w:r>
      <w:r w:rsidDel="00000000" w:rsidR="00000000" w:rsidRPr="00000000">
        <w:rPr>
          <w:b w:val="1"/>
          <w:bCs w:val="1"/>
          <w:rtl w:val="0"/>
        </w:rPr>
        <w:t xml:space="preserve">12 de agosto de 2025</w:t>
      </w:r>
      <w:r w:rsidDel="00000000" w:rsidR="00000000" w:rsidRPr="00000000">
        <w:rPr>
          <w:rtl w:val="0"/>
        </w:rPr>
        <w:t xml:space="preserve"> . El incumplimiento no es una opción para los proveedores de infraestructura.</w:t>
      </w:r>
    </w:p>
    <w:p w:rsidR="00000000" w:rsidDel="00000000" w:rsidP="00000000" w:rsidRDefault="00000000" w:rsidRPr="00000000" w14:paraId="0000000D">
      <w:pPr>
        <w:pStyle w:val="Heading4"/>
        <w:rPr/>
      </w:pPr>
      <w:bookmarkStart w:colFirst="0" w:colLast="0" w:name="_9boc8vo4kvlu" w:id="4"/>
      <w:bookmarkEnd w:id="4"/>
      <w:r w:rsidDel="00000000" w:rsidR="00000000" w:rsidRPr="00000000">
        <w:rPr>
          <w:rtl w:val="0"/>
        </w:rPr>
        <w:t xml:space="preserve">4. Riesgo Limitado: El Deber de Transparencia (Art. 52.1)</w:t>
      </w:r>
    </w:p>
    <w:p w:rsidR="00000000" w:rsidDel="00000000" w:rsidP="00000000" w:rsidRDefault="00000000" w:rsidRPr="00000000" w14:paraId="0000000E">
      <w:pPr>
        <w:rPr/>
      </w:pPr>
      <w:r w:rsidDel="00000000" w:rsidR="00000000" w:rsidRPr="00000000">
        <w:rPr>
          <w:rtl w:val="0"/>
        </w:rPr>
        <w:t xml:space="preserve">Si su sistema interactúa con usuarios, la ley le obliga a la honestidad técnica. El incumplimiento del  </w:t>
      </w:r>
      <w:r w:rsidDel="00000000" w:rsidR="00000000" w:rsidRPr="00000000">
        <w:rPr>
          <w:b w:val="1"/>
          <w:bCs w:val="1"/>
          <w:rtl w:val="0"/>
        </w:rPr>
        <w:t xml:space="preserve">Artículo 52.1</w:t>
      </w:r>
      <w:r w:rsidDel="00000000" w:rsidR="00000000" w:rsidRPr="00000000">
        <w:rPr>
          <w:rtl w:val="0"/>
        </w:rPr>
        <w:t xml:space="preserve">  del Reglamento de IA puede acarrear sanciones de hasta  </w:t>
      </w:r>
      <w:r w:rsidDel="00000000" w:rsidR="00000000" w:rsidRPr="00000000">
        <w:rPr>
          <w:b w:val="1"/>
          <w:bCs w:val="1"/>
          <w:rtl w:val="0"/>
        </w:rPr>
        <w:t xml:space="preserve">15 millones de euros o el 3% de la facturación global</w:t>
      </w:r>
      <w:r w:rsidDel="00000000" w:rsidR="00000000" w:rsidRPr="00000000">
        <w:rPr>
          <w:rtl w:val="0"/>
        </w:rPr>
        <w:t xml:space="preserve"> .</w:t>
      </w:r>
    </w:p>
    <w:p w:rsidR="00000000" w:rsidDel="00000000" w:rsidP="00000000" w:rsidRDefault="00000000" w:rsidRPr="00000000" w14:paraId="0000000F">
      <w:pPr>
        <w:numPr>
          <w:ilvl w:val="0"/>
          <w:numId w:val="4"/>
        </w:numPr>
        <w:ind w:left="720" w:hanging="360"/>
        <w:rPr>
          <w:u w:val="none"/>
        </w:rPr>
      </w:pPr>
      <w:r w:rsidDel="00000000" w:rsidR="00000000" w:rsidRPr="00000000">
        <w:rPr>
          <w:b w:val="1"/>
          <w:bCs w:val="1"/>
          <w:rtl w:val="0"/>
        </w:rPr>
        <w:t xml:space="preserve">Chatbots de atención:</w:t>
      </w:r>
      <w:r w:rsidDel="00000000" w:rsidR="00000000" w:rsidRPr="00000000">
        <w:rPr>
          <w:rtl w:val="0"/>
        </w:rPr>
        <w:t xml:space="preserve">  "Hola, soy un asistente de IA de Empresa. Puedo cometer errores. Todo lo que te diga será revisado por un humano si lo solicitas."</w:t>
      </w:r>
    </w:p>
    <w:p w:rsidR="00000000" w:rsidDel="00000000" w:rsidP="00000000" w:rsidRDefault="00000000" w:rsidRPr="00000000" w14:paraId="00000010">
      <w:pPr>
        <w:numPr>
          <w:ilvl w:val="0"/>
          <w:numId w:val="4"/>
        </w:numPr>
        <w:ind w:left="720" w:hanging="360"/>
        <w:rPr>
          <w:u w:val="none"/>
        </w:rPr>
      </w:pPr>
      <w:r w:rsidDel="00000000" w:rsidR="00000000" w:rsidRPr="00000000">
        <w:rPr>
          <w:b w:val="1"/>
          <w:bCs w:val="1"/>
          <w:rtl w:val="0"/>
        </w:rPr>
        <w:t xml:space="preserve">Contenido Sintético:</w:t>
      </w:r>
      <w:r w:rsidDel="00000000" w:rsidR="00000000" w:rsidRPr="00000000">
        <w:rPr>
          <w:rtl w:val="0"/>
        </w:rPr>
        <w:t xml:space="preserve">  Las imágenes y vídeos deben portar marcas de agua visibles o metadatos técnicos bajo el estándar  </w:t>
      </w:r>
      <w:r w:rsidDel="00000000" w:rsidR="00000000" w:rsidRPr="00000000">
        <w:rPr>
          <w:b w:val="1"/>
          <w:bCs w:val="1"/>
          <w:rtl w:val="0"/>
        </w:rPr>
        <w:t xml:space="preserve">C2PA</w:t>
      </w:r>
      <w:r w:rsidDel="00000000" w:rsidR="00000000" w:rsidRPr="00000000">
        <w:rPr>
          <w:rtl w:val="0"/>
        </w:rPr>
        <w:t xml:space="preserve"> .</w:t>
      </w:r>
    </w:p>
    <w:p w:rsidR="00000000" w:rsidDel="00000000" w:rsidP="00000000" w:rsidRDefault="00000000" w:rsidRPr="00000000" w14:paraId="00000011">
      <w:pPr>
        <w:numPr>
          <w:ilvl w:val="0"/>
          <w:numId w:val="4"/>
        </w:numPr>
        <w:ind w:left="720" w:hanging="360"/>
        <w:rPr>
          <w:u w:val="none"/>
        </w:rPr>
      </w:pPr>
      <w:r w:rsidDel="00000000" w:rsidR="00000000" w:rsidRPr="00000000">
        <w:rPr>
          <w:b w:val="1"/>
          <w:bCs w:val="1"/>
          <w:rtl w:val="0"/>
        </w:rPr>
        <w:t xml:space="preserve">Publicidad en Redes Sociales:</w:t>
      </w:r>
      <w:r w:rsidDel="00000000" w:rsidR="00000000" w:rsidRPr="00000000">
        <w:rPr>
          <w:rtl w:val="0"/>
        </w:rPr>
        <w:t xml:space="preserve">  Es obligatorio marcar la casilla de contenido alterado en plataformas como Meta o Google Ads:  </w:t>
      </w:r>
      <w:r w:rsidDel="00000000" w:rsidR="00000000" w:rsidRPr="00000000">
        <w:rPr>
          <w:i w:val="1"/>
          <w:iCs w:val="1"/>
          <w:rtl w:val="0"/>
        </w:rPr>
        <w:t xml:space="preserve">"Este anuncio contiene contenido generado por IA"</w:t>
      </w:r>
      <w:r w:rsidDel="00000000" w:rsidR="00000000" w:rsidRPr="00000000">
        <w:rPr>
          <w:rtl w:val="0"/>
        </w:rPr>
        <w:t xml:space="preserve"> .</w:t>
      </w:r>
    </w:p>
    <w:p w:rsidR="00000000" w:rsidDel="00000000" w:rsidP="00000000" w:rsidRDefault="00000000" w:rsidRPr="00000000" w14:paraId="00000012">
      <w:pPr>
        <w:pStyle w:val="Heading4"/>
        <w:rPr/>
      </w:pPr>
      <w:bookmarkStart w:colFirst="0" w:colLast="0" w:name="_uz7napg3vozn" w:id="5"/>
      <w:bookmarkEnd w:id="5"/>
      <w:r w:rsidDel="00000000" w:rsidR="00000000" w:rsidRPr="00000000">
        <w:rPr>
          <w:rtl w:val="0"/>
        </w:rPr>
        <w:t xml:space="preserve">5. Gobernanza y Supervisión Humana: El "Botón Rojo"</w:t>
      </w:r>
    </w:p>
    <w:p w:rsidR="00000000" w:rsidDel="00000000" w:rsidP="00000000" w:rsidRDefault="00000000" w:rsidRPr="00000000" w14:paraId="00000013">
      <w:pPr>
        <w:rPr/>
      </w:pPr>
      <w:r w:rsidDel="00000000" w:rsidR="00000000" w:rsidRPr="00000000">
        <w:rPr>
          <w:rtl w:val="0"/>
        </w:rPr>
        <w:t xml:space="preserve">La diferencia fundamental entre  </w:t>
      </w:r>
      <w:r w:rsidDel="00000000" w:rsidR="00000000" w:rsidRPr="00000000">
        <w:rPr>
          <w:b w:val="1"/>
          <w:bCs w:val="1"/>
          <w:rtl w:val="0"/>
        </w:rPr>
        <w:t xml:space="preserve">DevOps</w:t>
      </w:r>
      <w:r w:rsidDel="00000000" w:rsidR="00000000" w:rsidRPr="00000000">
        <w:rPr>
          <w:rtl w:val="0"/>
        </w:rPr>
        <w:t xml:space="preserve">  (software tradicional) y  </w:t>
      </w:r>
      <w:r w:rsidDel="00000000" w:rsidR="00000000" w:rsidRPr="00000000">
        <w:rPr>
          <w:b w:val="1"/>
          <w:bCs w:val="1"/>
          <w:rtl w:val="0"/>
        </w:rPr>
        <w:t xml:space="preserve">MLOps</w:t>
      </w:r>
      <w:r w:rsidDel="00000000" w:rsidR="00000000" w:rsidRPr="00000000">
        <w:rPr>
          <w:rtl w:val="0"/>
        </w:rPr>
        <w:t xml:space="preserve">  (IA) es el manejo de la incertidumbre. Mientras que el software es determinista, la IA sufre de  </w:t>
      </w:r>
      <w:r w:rsidDel="00000000" w:rsidR="00000000" w:rsidRPr="00000000">
        <w:rPr>
          <w:b w:val="1"/>
          <w:bCs w:val="1"/>
          <w:rtl w:val="0"/>
        </w:rPr>
        <w:t xml:space="preserve">Model Drift</w:t>
      </w:r>
      <w:r w:rsidDel="00000000" w:rsidR="00000000" w:rsidRPr="00000000">
        <w:rPr>
          <w:rtl w:val="0"/>
        </w:rPr>
        <w:t xml:space="preserve">  (deriva del modelo): su precisión se degrada a medida que el mundo real cambia.En MLOps, no basta con versionar el código; se debe versionar el  </w:t>
      </w:r>
      <w:r w:rsidDel="00000000" w:rsidR="00000000" w:rsidRPr="00000000">
        <w:rPr>
          <w:b w:val="1"/>
          <w:bCs w:val="1"/>
          <w:rtl w:val="0"/>
        </w:rPr>
        <w:t xml:space="preserve">Código, los Datos y los Artefactos del Modelo</w:t>
      </w:r>
      <w:r w:rsidDel="00000000" w:rsidR="00000000" w:rsidRPr="00000000">
        <w:rPr>
          <w:rtl w:val="0"/>
        </w:rPr>
        <w:t xml:space="preserve">  para garantizar la trazabilidad. Además, el rendimiento debe auditarse mediante métricas críticas:</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TPS (Tokens Per Second):</w:t>
      </w:r>
      <w:r w:rsidDel="00000000" w:rsidR="00000000" w:rsidRPr="00000000">
        <w:rPr>
          <w:rtl w:val="0"/>
        </w:rPr>
        <w:t xml:space="preserve">  Velocidad de inferencia.</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TTFT (Time to First Token):</w:t>
      </w:r>
      <w:r w:rsidDel="00000000" w:rsidR="00000000" w:rsidRPr="00000000">
        <w:rPr>
          <w:rtl w:val="0"/>
        </w:rPr>
        <w:t xml:space="preserve">  Tiempo de respuesta inicial, vital para la experiencia del usuario.</w:t>
      </w:r>
    </w:p>
    <w:p w:rsidR="00000000" w:rsidDel="00000000" w:rsidP="00000000" w:rsidRDefault="00000000" w:rsidRPr="00000000" w14:paraId="00000016">
      <w:pPr>
        <w:pStyle w:val="Heading5"/>
        <w:rPr/>
      </w:pPr>
      <w:bookmarkStart w:colFirst="0" w:colLast="0" w:name="_db5zixpaoxmu" w:id="6"/>
      <w:bookmarkEnd w:id="6"/>
      <w:r w:rsidDel="00000000" w:rsidR="00000000" w:rsidRPr="00000000">
        <w:rPr>
          <w:rtl w:val="0"/>
        </w:rPr>
        <w:t xml:space="preserve">El Protocolo de Control Técnico:</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bCs w:val="1"/>
          <w:rtl w:val="0"/>
        </w:rPr>
        <w:t xml:space="preserve">Despliegue Gradual:</w:t>
      </w:r>
      <w:r w:rsidDel="00000000" w:rsidR="00000000" w:rsidRPr="00000000">
        <w:rPr>
          <w:rtl w:val="0"/>
        </w:rPr>
        <w:t xml:space="preserve">  La IA no se lanza al 100%. Se inicia con un  </w:t>
      </w:r>
      <w:r w:rsidDel="00000000" w:rsidR="00000000" w:rsidRPr="00000000">
        <w:rPr>
          <w:b w:val="1"/>
          <w:bCs w:val="1"/>
          <w:rtl w:val="0"/>
        </w:rPr>
        <w:t xml:space="preserve">0.5% de los usuarios</w:t>
      </w:r>
      <w:r w:rsidDel="00000000" w:rsidR="00000000" w:rsidRPr="00000000">
        <w:rPr>
          <w:rtl w:val="0"/>
        </w:rPr>
        <w:t xml:space="preserve">  y se escala solo tras validar la ausencia de alucinaciones graves.</w:t>
      </w:r>
    </w:p>
    <w:p w:rsidR="00000000" w:rsidDel="00000000" w:rsidP="00000000" w:rsidRDefault="00000000" w:rsidRPr="00000000" w14:paraId="00000018">
      <w:pPr>
        <w:numPr>
          <w:ilvl w:val="0"/>
          <w:numId w:val="2"/>
        </w:numPr>
        <w:ind w:left="720" w:hanging="360"/>
        <w:rPr>
          <w:u w:val="none"/>
        </w:rPr>
      </w:pPr>
      <w:r w:rsidDel="00000000" w:rsidR="00000000" w:rsidRPr="00000000">
        <w:rPr>
          <w:b w:val="1"/>
          <w:bCs w:val="1"/>
          <w:rtl w:val="0"/>
        </w:rPr>
        <w:t xml:space="preserve">Kill-switch (Botón de pánico):</w:t>
      </w:r>
      <w:r w:rsidDel="00000000" w:rsidR="00000000" w:rsidRPr="00000000">
        <w:rPr>
          <w:rtl w:val="0"/>
        </w:rPr>
        <w:t xml:space="preserve">  Control manual y automático. Si la IA detecta una confianza inferior al 85%, el sistema debe detenerse y derivar a un humano.</w:t>
      </w:r>
    </w:p>
    <w:p w:rsidR="00000000" w:rsidDel="00000000" w:rsidP="00000000" w:rsidRDefault="00000000" w:rsidRPr="00000000" w14:paraId="00000019">
      <w:pPr>
        <w:numPr>
          <w:ilvl w:val="0"/>
          <w:numId w:val="2"/>
        </w:numPr>
        <w:ind w:left="720" w:hanging="360"/>
        <w:rPr>
          <w:u w:val="none"/>
        </w:rPr>
      </w:pPr>
      <w:r w:rsidDel="00000000" w:rsidR="00000000" w:rsidRPr="00000000">
        <w:rPr>
          <w:b w:val="1"/>
          <w:bCs w:val="1"/>
          <w:rtl w:val="0"/>
        </w:rPr>
        <w:t xml:space="preserve">Logs de Auditoría:</w:t>
      </w:r>
      <w:r w:rsidDel="00000000" w:rsidR="00000000" w:rsidRPr="00000000">
        <w:rPr>
          <w:rtl w:val="0"/>
        </w:rPr>
        <w:t xml:space="preserve">  Es obligatorio conservar la "huella digital" de la IA (prompts y respuestas) durante  </w:t>
      </w:r>
      <w:r w:rsidDel="00000000" w:rsidR="00000000" w:rsidRPr="00000000">
        <w:rPr>
          <w:b w:val="1"/>
          <w:bCs w:val="1"/>
          <w:rtl w:val="0"/>
        </w:rPr>
        <w:t xml:space="preserve">24 meses</w:t>
      </w:r>
      <w:r w:rsidDel="00000000" w:rsidR="00000000" w:rsidRPr="00000000">
        <w:rPr>
          <w:rtl w:val="0"/>
        </w:rPr>
        <w:t xml:space="preserve"> . Sin registros, no hay defensa legal posible.</w:t>
      </w:r>
    </w:p>
    <w:p w:rsidR="00000000" w:rsidDel="00000000" w:rsidP="00000000" w:rsidRDefault="00000000" w:rsidRPr="00000000" w14:paraId="0000001A">
      <w:pPr>
        <w:pStyle w:val="Heading4"/>
        <w:rPr/>
      </w:pPr>
      <w:bookmarkStart w:colFirst="0" w:colLast="0" w:name="_gm8tqkx3alsf" w:id="7"/>
      <w:bookmarkEnd w:id="7"/>
      <w:r w:rsidDel="00000000" w:rsidR="00000000" w:rsidRPr="00000000">
        <w:rPr>
          <w:rtl w:val="0"/>
        </w:rPr>
        <w:t xml:space="preserve">6. Protocolo de 7 Fases para la Implantación Legal de la IA</w:t>
      </w:r>
    </w:p>
    <w:p w:rsidR="00000000" w:rsidDel="00000000" w:rsidP="00000000" w:rsidRDefault="00000000" w:rsidRPr="00000000" w14:paraId="0000001B">
      <w:pPr>
        <w:rPr/>
      </w:pPr>
      <w:r w:rsidDel="00000000" w:rsidR="00000000" w:rsidRPr="00000000">
        <w:rPr>
          <w:rtl w:val="0"/>
        </w:rPr>
        <w:t xml:space="preserve">Como especialistas, no "probamos" herramientas; implementamos protocolos. Antes de desplegar cualquier sistema, verifique este checklist de gobernanza:</w:t>
      </w:r>
    </w:p>
    <w:p w:rsidR="00000000" w:rsidDel="00000000" w:rsidP="00000000" w:rsidRDefault="00000000" w:rsidRPr="00000000" w14:paraId="0000001C">
      <w:pPr>
        <w:numPr>
          <w:ilvl w:val="0"/>
          <w:numId w:val="5"/>
        </w:numPr>
        <w:ind w:left="720" w:hanging="360"/>
        <w:rPr>
          <w:u w:val="none"/>
        </w:rPr>
      </w:pPr>
      <w:r w:rsidDel="00000000" w:rsidR="00000000" w:rsidRPr="00000000">
        <w:rPr>
          <w:rtl w:val="0"/>
        </w:rPr>
        <w:t xml:space="preserve">  </w:t>
      </w:r>
      <w:r w:rsidDel="00000000" w:rsidR="00000000" w:rsidRPr="00000000">
        <w:rPr>
          <w:b w:val="1"/>
          <w:bCs w:val="1"/>
          <w:rtl w:val="0"/>
        </w:rPr>
        <w:t xml:space="preserve">FASE 1: Clasificación del caso de uso.</w:t>
      </w:r>
      <w:r w:rsidDel="00000000" w:rsidR="00000000" w:rsidRPr="00000000">
        <w:rPr>
          <w:rtl w:val="0"/>
        </w:rPr>
        <w:t xml:space="preserve">  ¿Es riesgo prohibido, alto o limitado?</w:t>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  </w:t>
      </w:r>
      <w:r w:rsidDel="00000000" w:rsidR="00000000" w:rsidRPr="00000000">
        <w:rPr>
          <w:b w:val="1"/>
          <w:bCs w:val="1"/>
          <w:rtl w:val="0"/>
        </w:rPr>
        <w:t xml:space="preserve">FASE 2: Evaluación de datos (DPIA/TIA).</w:t>
      </w:r>
      <w:r w:rsidDel="00000000" w:rsidR="00000000" w:rsidRPr="00000000">
        <w:rPr>
          <w:rtl w:val="0"/>
        </w:rPr>
        <w:t xml:space="preserve">  ¿Qué datos entran? ¿Son necesarios? ¿Se transfieren fuera del Espacio Económico Europeo?</w:t>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  </w:t>
      </w:r>
      <w:r w:rsidDel="00000000" w:rsidR="00000000" w:rsidRPr="00000000">
        <w:rPr>
          <w:b w:val="1"/>
          <w:bCs w:val="1"/>
          <w:rtl w:val="0"/>
        </w:rPr>
        <w:t xml:space="preserve">FASE 3: Blindaje contractual (Legal Pack).</w:t>
      </w:r>
      <w:r w:rsidDel="00000000" w:rsidR="00000000" w:rsidRPr="00000000">
        <w:rPr>
          <w:rtl w:val="0"/>
        </w:rPr>
        <w:t xml:space="preserve">  Firma de DPA + Addendum específico de IA que prohíba al proveedor (OpenAI/Google) usar sus datos para entrenar modelos públicos.</w:t>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  </w:t>
      </w:r>
      <w:r w:rsidDel="00000000" w:rsidR="00000000" w:rsidRPr="00000000">
        <w:rPr>
          <w:b w:val="1"/>
          <w:bCs w:val="1"/>
          <w:rtl w:val="0"/>
        </w:rPr>
        <w:t xml:space="preserve">FASE 4: Transparencia obligatoria.</w:t>
      </w:r>
      <w:r w:rsidDel="00000000" w:rsidR="00000000" w:rsidRPr="00000000">
        <w:rPr>
          <w:rtl w:val="0"/>
        </w:rPr>
        <w:t xml:space="preserve">  Implementación del Artículo 52.1 y marcado C2PA.</w:t>
      </w:r>
    </w:p>
    <w:p w:rsidR="00000000" w:rsidDel="00000000" w:rsidP="00000000" w:rsidRDefault="00000000" w:rsidRPr="00000000" w14:paraId="00000020">
      <w:pPr>
        <w:numPr>
          <w:ilvl w:val="0"/>
          <w:numId w:val="5"/>
        </w:numPr>
        <w:ind w:left="720" w:hanging="360"/>
        <w:rPr>
          <w:u w:val="none"/>
        </w:rPr>
      </w:pPr>
      <w:r w:rsidDel="00000000" w:rsidR="00000000" w:rsidRPr="00000000">
        <w:rPr>
          <w:rtl w:val="0"/>
        </w:rPr>
        <w:t xml:space="preserve">  </w:t>
      </w:r>
      <w:r w:rsidDel="00000000" w:rsidR="00000000" w:rsidRPr="00000000">
        <w:rPr>
          <w:b w:val="1"/>
          <w:bCs w:val="1"/>
          <w:rtl w:val="0"/>
        </w:rPr>
        <w:t xml:space="preserve">FASE 5: Supervisión humana y Kill-switch.</w:t>
      </w:r>
      <w:r w:rsidDel="00000000" w:rsidR="00000000" w:rsidRPr="00000000">
        <w:rPr>
          <w:rtl w:val="0"/>
        </w:rPr>
        <w:t xml:space="preserve">  Definición del responsable humano que validará los outputs críticos.</w:t>
      </w:r>
    </w:p>
    <w:p w:rsidR="00000000" w:rsidDel="00000000" w:rsidP="00000000" w:rsidRDefault="00000000" w:rsidRPr="00000000" w14:paraId="00000021">
      <w:pPr>
        <w:numPr>
          <w:ilvl w:val="0"/>
          <w:numId w:val="5"/>
        </w:numPr>
        <w:ind w:left="720" w:hanging="360"/>
        <w:rPr>
          <w:u w:val="none"/>
        </w:rPr>
      </w:pPr>
      <w:r w:rsidDel="00000000" w:rsidR="00000000" w:rsidRPr="00000000">
        <w:rPr>
          <w:rtl w:val="0"/>
        </w:rPr>
        <w:t xml:space="preserve">  </w:t>
      </w:r>
      <w:r w:rsidDel="00000000" w:rsidR="00000000" w:rsidRPr="00000000">
        <w:rPr>
          <w:b w:val="1"/>
          <w:bCs w:val="1"/>
          <w:rtl w:val="0"/>
        </w:rPr>
        <w:t xml:space="preserve">FASE 6: Evaluación continua.</w:t>
      </w:r>
      <w:r w:rsidDel="00000000" w:rsidR="00000000" w:rsidRPr="00000000">
        <w:rPr>
          <w:rtl w:val="0"/>
        </w:rPr>
        <w:t xml:space="preserve">  Auditorías trimestrales para detectar sesgos y  </w:t>
      </w:r>
      <w:r w:rsidDel="00000000" w:rsidR="00000000" w:rsidRPr="00000000">
        <w:rPr>
          <w:i w:val="1"/>
          <w:iCs w:val="1"/>
          <w:rtl w:val="0"/>
        </w:rPr>
        <w:t xml:space="preserve">model drift</w:t>
      </w:r>
      <w:r w:rsidDel="00000000" w:rsidR="00000000" w:rsidRPr="00000000">
        <w:rPr>
          <w:rtl w:val="0"/>
        </w:rPr>
        <w:t xml:space="preserve"> .</w:t>
      </w:r>
    </w:p>
    <w:p w:rsidR="00000000" w:rsidDel="00000000" w:rsidP="00000000" w:rsidRDefault="00000000" w:rsidRPr="00000000" w14:paraId="00000022">
      <w:pPr>
        <w:numPr>
          <w:ilvl w:val="0"/>
          <w:numId w:val="5"/>
        </w:numPr>
        <w:ind w:left="720" w:hanging="360"/>
        <w:rPr>
          <w:u w:val="none"/>
        </w:rPr>
      </w:pPr>
      <w:r w:rsidDel="00000000" w:rsidR="00000000" w:rsidRPr="00000000">
        <w:rPr>
          <w:rtl w:val="0"/>
        </w:rPr>
        <w:t xml:space="preserve">  </w:t>
      </w:r>
      <w:r w:rsidDel="00000000" w:rsidR="00000000" w:rsidRPr="00000000">
        <w:rPr>
          <w:b w:val="1"/>
          <w:bCs w:val="1"/>
          <w:rtl w:val="0"/>
        </w:rPr>
        <w:t xml:space="preserve">FASE 7: Gobernanza interna.</w:t>
      </w:r>
      <w:r w:rsidDel="00000000" w:rsidR="00000000" w:rsidRPr="00000000">
        <w:rPr>
          <w:rtl w:val="0"/>
        </w:rPr>
        <w:t xml:space="preserve">  Nombramiento de un AI Officer y creación de una política de uso responsable.</w:t>
      </w:r>
    </w:p>
    <w:p w:rsidR="00000000" w:rsidDel="00000000" w:rsidP="00000000" w:rsidRDefault="00000000" w:rsidRPr="00000000" w14:paraId="00000023">
      <w:pPr>
        <w:numPr>
          <w:ilvl w:val="0"/>
          <w:numId w:val="5"/>
        </w:numPr>
        <w:ind w:left="720" w:hanging="360"/>
        <w:rPr>
          <w:u w:val="none"/>
        </w:rPr>
      </w:pPr>
      <w:r w:rsidDel="00000000" w:rsidR="00000000" w:rsidRPr="00000000">
        <w:rPr>
          <w:rtl w:val="0"/>
        </w:rPr>
        <w:t xml:space="preserve">  </w:t>
      </w:r>
      <w:r w:rsidDel="00000000" w:rsidR="00000000" w:rsidRPr="00000000">
        <w:rPr>
          <w:b w:val="1"/>
          <w:bCs w:val="1"/>
          <w:rtl w:val="0"/>
        </w:rPr>
        <w:t xml:space="preserve">ALERTA: Vendor Lock-in.</w:t>
      </w:r>
      <w:r w:rsidDel="00000000" w:rsidR="00000000" w:rsidRPr="00000000">
        <w:rPr>
          <w:rtl w:val="0"/>
        </w:rPr>
        <w:t xml:space="preserve">  Evaluación del riesgo de dependencia absoluta de un proveedor externo frente al desarrollo de IP propia.</w:t>
      </w:r>
    </w:p>
    <w:p w:rsidR="00000000" w:rsidDel="00000000" w:rsidP="00000000" w:rsidRDefault="00000000" w:rsidRPr="00000000" w14:paraId="00000024">
      <w:pPr>
        <w:pStyle w:val="Heading4"/>
        <w:rPr/>
      </w:pPr>
      <w:bookmarkStart w:colFirst="0" w:colLast="0" w:name="_hrt7353xv2m5" w:id="8"/>
      <w:bookmarkEnd w:id="8"/>
      <w:r w:rsidDel="00000000" w:rsidR="00000000" w:rsidRPr="00000000">
        <w:rPr>
          <w:rtl w:val="0"/>
        </w:rPr>
        <w:t xml:space="preserve">7. Conclusión: La Excelencia en la Era de la Responsabilidad</w:t>
      </w:r>
    </w:p>
    <w:p w:rsidR="00000000" w:rsidDel="00000000" w:rsidP="00000000" w:rsidRDefault="00000000" w:rsidRPr="00000000" w14:paraId="00000025">
      <w:pPr>
        <w:rPr/>
      </w:pPr>
      <w:r w:rsidDel="00000000" w:rsidR="00000000" w:rsidRPr="00000000">
        <w:rPr>
          <w:rtl w:val="0"/>
        </w:rPr>
        <w:t xml:space="preserve">La Inteligencia Artificial no sustituirá al profesional con criterio, pero la falta de gobernanza arruinará a quienes operen desde la improvisación. Pasar del "vamos probando" al rigor legal es lo que distingue a un operario de un estratega.Implementar este marco de gobernanza no es un gasto, es un activo de alto valor. Los consultores que dominan este blindaje están aplicando el  </w:t>
      </w:r>
      <w:r w:rsidDel="00000000" w:rsidR="00000000" w:rsidRPr="00000000">
        <w:rPr>
          <w:b w:val="1"/>
          <w:bCs w:val="1"/>
          <w:rtl w:val="0"/>
        </w:rPr>
        <w:t xml:space="preserve">"AI Responsibility Fee"</w:t>
      </w:r>
      <w:r w:rsidDel="00000000" w:rsidR="00000000" w:rsidRPr="00000000">
        <w:rPr>
          <w:rtl w:val="0"/>
        </w:rPr>
        <w:t xml:space="preserve"> , una tarifa adicional que oscila entre los  </w:t>
      </w:r>
      <w:r w:rsidDel="00000000" w:rsidR="00000000" w:rsidRPr="00000000">
        <w:rPr>
          <w:b w:val="1"/>
          <w:bCs w:val="1"/>
          <w:rtl w:val="0"/>
        </w:rPr>
        <w:t xml:space="preserve">18.000 € y 45.000 €</w:t>
      </w:r>
      <w:r w:rsidDel="00000000" w:rsidR="00000000" w:rsidRPr="00000000">
        <w:rPr>
          <w:rtl w:val="0"/>
        </w:rPr>
        <w:t xml:space="preserve">  por implementación. Cobramos este suplemento no por usar la IA, sino por garantizar que el cliente no sea destruido por ella. El futuro pertenece a quienes saben proteger el presente.</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