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btac5rqzu3y" w:id="0"/>
      <w:bookmarkEnd w:id="0"/>
      <w:r w:rsidDel="00000000" w:rsidR="00000000" w:rsidRPr="00000000">
        <w:rPr>
          <w:rtl w:val="0"/>
        </w:rPr>
        <w:t xml:space="preserve">Protocolo Maestro de Gobernanza: Blindaje Legal y Operativo para la IA Empresarial</w:t>
      </w:r>
    </w:p>
    <w:p w:rsidR="00000000" w:rsidDel="00000000" w:rsidP="00000000" w:rsidRDefault="00000000" w:rsidRPr="00000000" w14:paraId="00000002">
      <w:pPr>
        <w:rPr/>
      </w:pPr>
      <w:r w:rsidDel="00000000" w:rsidR="00000000" w:rsidRPr="00000000">
        <w:rPr>
          <w:rtl w:val="0"/>
        </w:rPr>
        <w:t xml:space="preserve">La implementación de la Inteligencia Artificial (IA) no es un proyecto de IT; es una decisión de gestión de riesgos críticos que define la supervivencia financiera y reputacional de la empresa moderna. Operar sin un marco de gobernanza riguroso es invitar a un "Chernobil Digital" en el balance general. Como estrategas senior, nuestra misión es transformar la IA de un experimento volátil en una infraestructura predecible, auditable y, sobre todo, rentable.</w:t>
      </w:r>
    </w:p>
    <w:p w:rsidR="00000000" w:rsidDel="00000000" w:rsidP="00000000" w:rsidRDefault="00000000" w:rsidRPr="00000000" w14:paraId="00000003">
      <w:pPr>
        <w:pStyle w:val="Heading4"/>
        <w:rPr/>
      </w:pPr>
      <w:bookmarkStart w:colFirst="0" w:colLast="0" w:name="_swg5sspo9hlz" w:id="1"/>
      <w:bookmarkEnd w:id="1"/>
      <w:r w:rsidDel="00000000" w:rsidR="00000000" w:rsidRPr="00000000">
        <w:rPr>
          <w:rtl w:val="0"/>
        </w:rPr>
        <w:t xml:space="preserve">1. El Imperativo Estratégico: Mitigación de "Chernobiles Digitales"</w:t>
      </w:r>
    </w:p>
    <w:p w:rsidR="00000000" w:rsidDel="00000000" w:rsidP="00000000" w:rsidRDefault="00000000" w:rsidRPr="00000000" w14:paraId="00000004">
      <w:pPr>
        <w:rPr/>
      </w:pPr>
      <w:r w:rsidDel="00000000" w:rsidR="00000000" w:rsidRPr="00000000">
        <w:rPr>
          <w:rtl w:val="0"/>
        </w:rPr>
        <w:t xml:space="preserve">La crisis de responsabilidad en IA surge de una desconexión entre la agilidad técnica y el control legal. A diferencia del software tradicional, los sistemas de IA son dinámicos: su comportamiento evoluciona con los datos, lo que genera riesgos de "alucinaciones" con consecuencias legales directas.</w:t>
      </w:r>
    </w:p>
    <w:p w:rsidR="00000000" w:rsidDel="00000000" w:rsidP="00000000" w:rsidRDefault="00000000" w:rsidRPr="00000000" w14:paraId="00000005">
      <w:pPr>
        <w:pStyle w:val="Heading5"/>
        <w:rPr/>
      </w:pPr>
      <w:bookmarkStart w:colFirst="0" w:colLast="0" w:name="_l5zoqtjeqjfh" w:id="2"/>
      <w:bookmarkEnd w:id="2"/>
      <w:r w:rsidDel="00000000" w:rsidR="00000000" w:rsidRPr="00000000">
        <w:rPr>
          <w:rtl w:val="0"/>
        </w:rPr>
        <w:t xml:space="preserve">Análisis de Riesgos: El Coste de la Negligencia</w:t>
      </w:r>
    </w:p>
    <w:p w:rsidR="00000000" w:rsidDel="00000000" w:rsidP="00000000" w:rsidRDefault="00000000" w:rsidRPr="00000000" w14:paraId="00000006">
      <w:pPr>
        <w:rPr/>
      </w:pPr>
      <w:r w:rsidDel="00000000" w:rsidR="00000000" w:rsidRPr="00000000">
        <w:rPr>
          <w:rtl w:val="0"/>
        </w:rPr>
        <w:t xml:space="preserve">Los fallos sistémicos recientes demuestran que la justicia no reconoce la autonomía de la IA como eximente:</w:t>
      </w:r>
    </w:p>
    <w:p w:rsidR="00000000" w:rsidDel="00000000" w:rsidP="00000000" w:rsidRDefault="00000000" w:rsidRPr="00000000" w14:paraId="00000007">
      <w:pPr>
        <w:numPr>
          <w:ilvl w:val="0"/>
          <w:numId w:val="10"/>
        </w:numPr>
        <w:ind w:left="720" w:hanging="360"/>
        <w:rPr>
          <w:u w:val="none"/>
        </w:rPr>
      </w:pPr>
      <w:r w:rsidDel="00000000" w:rsidR="00000000" w:rsidRPr="00000000">
        <w:rPr>
          <w:b w:val="1"/>
          <w:bCs w:val="1"/>
          <w:rtl w:val="0"/>
        </w:rPr>
        <w:t xml:space="preserve">Responsabilidad Corporativa Directa (Air Canada, 2024):</w:t>
      </w:r>
      <w:r w:rsidDel="00000000" w:rsidR="00000000" w:rsidRPr="00000000">
        <w:rPr>
          <w:rtl w:val="0"/>
        </w:rPr>
        <w:t xml:space="preserve">  El tribunal rechazó categóricamente la defensa de que "la IA es una entidad legal separada". Se estableció que la empresa es responsable de las políticas inventadas por su chatbot, obligando al reembolso de tarifas basadas en alucinaciones del modelo.</w:t>
      </w:r>
    </w:p>
    <w:p w:rsidR="00000000" w:rsidDel="00000000" w:rsidP="00000000" w:rsidRDefault="00000000" w:rsidRPr="00000000" w14:paraId="00000008">
      <w:pPr>
        <w:numPr>
          <w:ilvl w:val="0"/>
          <w:numId w:val="10"/>
        </w:numPr>
        <w:ind w:left="720" w:hanging="360"/>
        <w:rPr>
          <w:u w:val="none"/>
        </w:rPr>
      </w:pPr>
      <w:r w:rsidDel="00000000" w:rsidR="00000000" w:rsidRPr="00000000">
        <w:rPr>
          <w:b w:val="1"/>
          <w:bCs w:val="1"/>
          <w:rtl w:val="0"/>
        </w:rPr>
        <w:t xml:space="preserve">Colapso Reputacional (Google Gemini):</w:t>
      </w:r>
      <w:r w:rsidDel="00000000" w:rsidR="00000000" w:rsidRPr="00000000">
        <w:rPr>
          <w:rtl w:val="0"/>
        </w:rPr>
        <w:t xml:space="preserve">  La ausencia de guardarraíles técnicos en la generación de imágenes históricas resultó en un sesgo ideológico forzado, destruyendo la confianza del mercado en días.</w:t>
      </w:r>
    </w:p>
    <w:p w:rsidR="00000000" w:rsidDel="00000000" w:rsidP="00000000" w:rsidRDefault="00000000" w:rsidRPr="00000000" w14:paraId="00000009">
      <w:pPr>
        <w:numPr>
          <w:ilvl w:val="0"/>
          <w:numId w:val="10"/>
        </w:numPr>
        <w:ind w:left="720" w:hanging="360"/>
        <w:rPr>
          <w:u w:val="none"/>
        </w:rPr>
      </w:pPr>
      <w:r w:rsidDel="00000000" w:rsidR="00000000" w:rsidRPr="00000000">
        <w:rPr>
          <w:b w:val="1"/>
          <w:bCs w:val="1"/>
          <w:rtl w:val="0"/>
        </w:rPr>
        <w:t xml:space="preserve">Fraude Publicitario (Willy Wonka Glasgow):</w:t>
      </w:r>
      <w:r w:rsidDel="00000000" w:rsidR="00000000" w:rsidRPr="00000000">
        <w:rPr>
          <w:rtl w:val="0"/>
        </w:rPr>
        <w:t xml:space="preserve">  El uso de IA para promocionar experiencias inexistentes derivó en denuncias masivas, evidenciando que la transparencia no es una opción ética, sino un requisito de viabilidad comercial.</w:t>
      </w:r>
    </w:p>
    <w:p w:rsidR="00000000" w:rsidDel="00000000" w:rsidP="00000000" w:rsidRDefault="00000000" w:rsidRPr="00000000" w14:paraId="0000000A">
      <w:pPr>
        <w:pStyle w:val="Heading5"/>
        <w:rPr/>
      </w:pPr>
      <w:bookmarkStart w:colFirst="0" w:colLast="0" w:name="_8dgx3xxbriq6" w:id="3"/>
      <w:bookmarkEnd w:id="3"/>
      <w:r w:rsidDel="00000000" w:rsidR="00000000" w:rsidRPr="00000000">
        <w:rPr>
          <w:rtl w:val="0"/>
        </w:rPr>
        <w:t xml:space="preserve">El Mandato Regulatorio (EU AI Act)</w:t>
      </w:r>
    </w:p>
    <w:p w:rsidR="00000000" w:rsidDel="00000000" w:rsidP="00000000" w:rsidRDefault="00000000" w:rsidRPr="00000000" w14:paraId="0000000B">
      <w:pPr>
        <w:rPr/>
      </w:pPr>
      <w:r w:rsidDel="00000000" w:rsidR="00000000" w:rsidRPr="00000000">
        <w:rPr>
          <w:rtl w:val="0"/>
        </w:rPr>
        <w:t xml:space="preserve">El incumplimiento no es una opción financiera. El Reglamento de IA de la UE impone sanciones de hasta  </w:t>
      </w:r>
      <w:r w:rsidDel="00000000" w:rsidR="00000000" w:rsidRPr="00000000">
        <w:rPr>
          <w:b w:val="1"/>
          <w:bCs w:val="1"/>
          <w:rtl w:val="0"/>
        </w:rPr>
        <w:t xml:space="preserve">35 M€ o el 7% de la facturación global</w:t>
      </w:r>
      <w:r w:rsidDel="00000000" w:rsidR="00000000" w:rsidRPr="00000000">
        <w:rPr>
          <w:rtl w:val="0"/>
        </w:rPr>
        <w:t xml:space="preserve"> :</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Febrero 2025:</w:t>
      </w:r>
      <w:r w:rsidDel="00000000" w:rsidR="00000000" w:rsidRPr="00000000">
        <w:rPr>
          <w:rtl w:val="0"/>
        </w:rPr>
        <w:t xml:space="preserve">  Prohibición total de sistemas de riesgo inaceptable (scoring social, manipulación).</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Agosto 2025:</w:t>
      </w:r>
      <w:r w:rsidDel="00000000" w:rsidR="00000000" w:rsidRPr="00000000">
        <w:rPr>
          <w:rtl w:val="0"/>
        </w:rPr>
        <w:t xml:space="preserve">  Obligaciones de transparencia para modelos GPAI (OpenAI, Google, Anthropic).</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Agosto 2026:</w:t>
      </w:r>
      <w:r w:rsidDel="00000000" w:rsidR="00000000" w:rsidRPr="00000000">
        <w:rPr>
          <w:rtl w:val="0"/>
        </w:rPr>
        <w:t xml:space="preserve">  Plena aplicación para sistemas de "Alto Riesgo", exigiendo trazabilidad y supervisión humana.Esta Fase 1 es un filtro de viabilidad de "go/no-go" que protege el balance general antes de procesar un solo token.</w:t>
      </w:r>
    </w:p>
    <w:p w:rsidR="00000000" w:rsidDel="00000000" w:rsidP="00000000" w:rsidRDefault="00000000" w:rsidRPr="00000000" w14:paraId="0000000F">
      <w:pPr>
        <w:pStyle w:val="Heading4"/>
        <w:rPr/>
      </w:pPr>
      <w:bookmarkStart w:colFirst="0" w:colLast="0" w:name="_fsssszx01fng" w:id="4"/>
      <w:bookmarkEnd w:id="4"/>
      <w:r w:rsidDel="00000000" w:rsidR="00000000" w:rsidRPr="00000000">
        <w:rPr>
          <w:rtl w:val="0"/>
        </w:rPr>
        <w:t xml:space="preserve">2. Fase 1 y 2: Clasificación de Riesgos y Auditoría de Arquitectura</w:t>
      </w:r>
    </w:p>
    <w:p w:rsidR="00000000" w:rsidDel="00000000" w:rsidP="00000000" w:rsidRDefault="00000000" w:rsidRPr="00000000" w14:paraId="00000010">
      <w:pPr>
        <w:pStyle w:val="Heading5"/>
        <w:rPr/>
      </w:pPr>
      <w:bookmarkStart w:colFirst="0" w:colLast="0" w:name="_41si1n8hie3c" w:id="5"/>
      <w:bookmarkEnd w:id="5"/>
      <w:r w:rsidDel="00000000" w:rsidR="00000000" w:rsidRPr="00000000">
        <w:rPr>
          <w:rtl w:val="0"/>
        </w:rPr>
        <w:t xml:space="preserve">Matriz de Clasificación (Fase 1)</w:t>
      </w:r>
    </w:p>
    <w:p w:rsidR="00000000" w:rsidDel="00000000" w:rsidP="00000000" w:rsidRDefault="00000000" w:rsidRPr="00000000" w14:paraId="00000011">
      <w:pPr>
        <w:rPr/>
      </w:pPr>
      <w:r w:rsidDel="00000000" w:rsidR="00000000" w:rsidRPr="00000000">
        <w:rPr>
          <w:rtl w:val="0"/>
        </w:rPr>
        <w:t xml:space="preserve">Cada caso de uso debe ser catalogado para determinar su nivel de escrutinio legal y técnico:</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Prohibido:</w:t>
      </w:r>
      <w:r w:rsidDel="00000000" w:rsidR="00000000" w:rsidRPr="00000000">
        <w:rPr>
          <w:rtl w:val="0"/>
        </w:rPr>
        <w:t xml:space="preserve">  Deepfakes no marcados, manipulación subliminal o scoring social. (Cese inmediato).</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Alto Riesgo:</w:t>
      </w:r>
      <w:r w:rsidDel="00000000" w:rsidR="00000000" w:rsidRPr="00000000">
        <w:rPr>
          <w:rtl w:val="0"/>
        </w:rPr>
        <w:t xml:space="preserve">  Pricing dinámico, segmentación con datos sensibles o decisiones económicas automáticas. Requiere DPIA y auditoría externa.</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Limitado:</w:t>
      </w:r>
      <w:r w:rsidDel="00000000" w:rsidR="00000000" w:rsidRPr="00000000">
        <w:rPr>
          <w:rtl w:val="0"/>
        </w:rPr>
        <w:t xml:space="preserve">  Chatbots, generación de contenido y agentes de voz. Requiere transparencia inmediata (Art. 52.1).</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Mínimo:</w:t>
      </w:r>
      <w:r w:rsidDel="00000000" w:rsidR="00000000" w:rsidRPr="00000000">
        <w:rPr>
          <w:rtl w:val="0"/>
        </w:rPr>
        <w:t xml:space="preserve">  Automatizaciones técnicas internas (n8n/Make) sin impacto en terceros.</w:t>
      </w:r>
    </w:p>
    <w:p w:rsidR="00000000" w:rsidDel="00000000" w:rsidP="00000000" w:rsidRDefault="00000000" w:rsidRPr="00000000" w14:paraId="00000016">
      <w:pPr>
        <w:pStyle w:val="Heading5"/>
        <w:rPr/>
      </w:pPr>
      <w:bookmarkStart w:colFirst="0" w:colLast="0" w:name="_1i229siyr4dh" w:id="6"/>
      <w:bookmarkEnd w:id="6"/>
      <w:r w:rsidDel="00000000" w:rsidR="00000000" w:rsidRPr="00000000">
        <w:rPr>
          <w:rtl w:val="0"/>
        </w:rPr>
        <w:t xml:space="preserve">Auditoría de Arquitectura y Datos (Fase 2)</w:t>
      </w:r>
    </w:p>
    <w:p w:rsidR="00000000" w:rsidDel="00000000" w:rsidP="00000000" w:rsidRDefault="00000000" w:rsidRPr="00000000" w14:paraId="00000017">
      <w:pPr>
        <w:rPr/>
      </w:pPr>
      <w:r w:rsidDel="00000000" w:rsidR="00000000" w:rsidRPr="00000000">
        <w:rPr>
          <w:rtl w:val="0"/>
        </w:rPr>
        <w:t xml:space="preserve">Aplicamos un enfoque de  </w:t>
      </w:r>
      <w:r w:rsidDel="00000000" w:rsidR="00000000" w:rsidRPr="00000000">
        <w:rPr>
          <w:b w:val="1"/>
          <w:bCs w:val="1"/>
          <w:rtl w:val="0"/>
        </w:rPr>
        <w:t xml:space="preserve">MLOps Architect</w:t>
      </w:r>
      <w:r w:rsidDel="00000000" w:rsidR="00000000" w:rsidRPr="00000000">
        <w:rPr>
          <w:rtl w:val="0"/>
        </w:rPr>
        <w:t xml:space="preserve">  evaluando la data bajo una escala de tres puntos:  </w:t>
      </w:r>
      <w:r w:rsidDel="00000000" w:rsidR="00000000" w:rsidRPr="00000000">
        <w:rPr>
          <w:b w:val="1"/>
          <w:bCs w:val="1"/>
          <w:rtl w:val="0"/>
        </w:rPr>
        <w:t xml:space="preserve">Accesibilidad, Armonización y Valor para la IA</w:t>
      </w:r>
      <w:r w:rsidDel="00000000" w:rsidR="00000000" w:rsidRPr="00000000">
        <w:rPr>
          <w:rtl w:val="0"/>
        </w:rPr>
        <w:t xml:space="preserve"> . Antes de la ejecución, es obligatorio responder por escrito a las "6 Preguntas de Blindaje" (IA-DPIA):</w:t>
      </w:r>
    </w:p>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Minimización:</w:t>
      </w:r>
      <w:r w:rsidDel="00000000" w:rsidR="00000000" w:rsidRPr="00000000">
        <w:rPr>
          <w:rtl w:val="0"/>
        </w:rPr>
        <w:t xml:space="preserve">  ¿Se han excluido datos no esenciales (DNI, salarios) para evitar la clasificación de Alto Riesgo?</w:t>
      </w:r>
    </w:p>
    <w:p w:rsidR="00000000" w:rsidDel="00000000" w:rsidP="00000000" w:rsidRDefault="00000000" w:rsidRPr="00000000" w14:paraId="00000019">
      <w:pPr>
        <w:numPr>
          <w:ilvl w:val="0"/>
          <w:numId w:val="8"/>
        </w:numPr>
        <w:ind w:left="720" w:hanging="360"/>
        <w:rPr>
          <w:u w:val="none"/>
        </w:rPr>
      </w:pPr>
      <w:r w:rsidDel="00000000" w:rsidR="00000000" w:rsidRPr="00000000">
        <w:rPr>
          <w:b w:val="1"/>
          <w:bCs w:val="1"/>
          <w:rtl w:val="0"/>
        </w:rPr>
        <w:t xml:space="preserve">Finalidad/Anonimización:</w:t>
      </w:r>
      <w:r w:rsidDel="00000000" w:rsidR="00000000" w:rsidRPr="00000000">
        <w:rPr>
          <w:rtl w:val="0"/>
        </w:rPr>
        <w:t xml:space="preserve">  ¿Puede el modelo operar con datos sintéticos o anonimizados?</w:t>
      </w:r>
    </w:p>
    <w:p w:rsidR="00000000" w:rsidDel="00000000" w:rsidP="00000000" w:rsidRDefault="00000000" w:rsidRPr="00000000" w14:paraId="0000001A">
      <w:pPr>
        <w:numPr>
          <w:ilvl w:val="0"/>
          <w:numId w:val="8"/>
        </w:numPr>
        <w:ind w:left="720" w:hanging="360"/>
        <w:rPr>
          <w:u w:val="none"/>
        </w:rPr>
      </w:pPr>
      <w:r w:rsidDel="00000000" w:rsidR="00000000" w:rsidRPr="00000000">
        <w:rPr>
          <w:b w:val="1"/>
          <w:bCs w:val="1"/>
          <w:rtl w:val="0"/>
        </w:rPr>
        <w:t xml:space="preserve">Transferencia (TIA):</w:t>
      </w:r>
      <w:r w:rsidDel="00000000" w:rsidR="00000000" w:rsidRPr="00000000">
        <w:rPr>
          <w:rtl w:val="0"/>
        </w:rPr>
        <w:t xml:space="preserve">  ¿Se procesan datos fuera del EEE? (Requiere Transfer Impact Assessment).</w:t>
      </w:r>
    </w:p>
    <w:p w:rsidR="00000000" w:rsidDel="00000000" w:rsidP="00000000" w:rsidRDefault="00000000" w:rsidRPr="00000000" w14:paraId="0000001B">
      <w:pPr>
        <w:numPr>
          <w:ilvl w:val="0"/>
          <w:numId w:val="8"/>
        </w:numPr>
        <w:ind w:left="720" w:hanging="360"/>
        <w:rPr>
          <w:u w:val="none"/>
        </w:rPr>
      </w:pPr>
      <w:r w:rsidDel="00000000" w:rsidR="00000000" w:rsidRPr="00000000">
        <w:rPr>
          <w:b w:val="1"/>
          <w:bCs w:val="1"/>
          <w:rtl w:val="0"/>
        </w:rPr>
        <w:t xml:space="preserve">No-Entrenamiento:</w:t>
      </w:r>
      <w:r w:rsidDel="00000000" w:rsidR="00000000" w:rsidRPr="00000000">
        <w:rPr>
          <w:rtl w:val="0"/>
        </w:rPr>
        <w:t xml:space="preserve">  ¿Existe garantía contractual de que el proveedor no entrena sus modelos con nuestros datos?</w:t>
      </w:r>
    </w:p>
    <w:p w:rsidR="00000000" w:rsidDel="00000000" w:rsidP="00000000" w:rsidRDefault="00000000" w:rsidRPr="00000000" w14:paraId="0000001C">
      <w:pPr>
        <w:numPr>
          <w:ilvl w:val="0"/>
          <w:numId w:val="8"/>
        </w:numPr>
        <w:ind w:left="720" w:hanging="360"/>
        <w:rPr>
          <w:u w:val="none"/>
        </w:rPr>
      </w:pPr>
      <w:r w:rsidDel="00000000" w:rsidR="00000000" w:rsidRPr="00000000">
        <w:rPr>
          <w:b w:val="1"/>
          <w:bCs w:val="1"/>
          <w:rtl w:val="0"/>
        </w:rPr>
        <w:t xml:space="preserve">Subprocesadores:</w:t>
      </w:r>
      <w:r w:rsidDel="00000000" w:rsidR="00000000" w:rsidRPr="00000000">
        <w:rPr>
          <w:rtl w:val="0"/>
        </w:rPr>
        <w:t xml:space="preserve">  ¿Contamos con DPAs firmados con toda la cadena (OpenAI, Pinecone, Vapi, etc.)?</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Retención:</w:t>
      </w:r>
      <w:r w:rsidDel="00000000" w:rsidR="00000000" w:rsidRPr="00000000">
        <w:rPr>
          <w:rtl w:val="0"/>
        </w:rPr>
        <w:t xml:space="preserve">  ¿Los logs sensibles se eliminan en &lt;24h?</w:t>
      </w:r>
    </w:p>
    <w:p w:rsidR="00000000" w:rsidDel="00000000" w:rsidP="00000000" w:rsidRDefault="00000000" w:rsidRPr="00000000" w14:paraId="0000001E">
      <w:pPr>
        <w:pStyle w:val="Heading4"/>
        <w:rPr/>
      </w:pPr>
      <w:bookmarkStart w:colFirst="0" w:colLast="0" w:name="_x2nzoefpne5z" w:id="7"/>
      <w:bookmarkEnd w:id="7"/>
      <w:r w:rsidDel="00000000" w:rsidR="00000000" w:rsidRPr="00000000">
        <w:rPr>
          <w:rtl w:val="0"/>
        </w:rPr>
        <w:t xml:space="preserve">3. Fase 3 y 4: Blindaje Contractual y Transparencia Obligatoria</w:t>
      </w:r>
    </w:p>
    <w:p w:rsidR="00000000" w:rsidDel="00000000" w:rsidP="00000000" w:rsidRDefault="00000000" w:rsidRPr="00000000" w14:paraId="0000001F">
      <w:pPr>
        <w:rPr/>
      </w:pPr>
      <w:r w:rsidDel="00000000" w:rsidR="00000000" w:rsidRPr="00000000">
        <w:rPr>
          <w:rtl w:val="0"/>
        </w:rPr>
        <w:t xml:space="preserve">El blindaje legal no es burocracia; es la herramienta que transforma la responsabilidad solidaria en una ventaja competitiva.</w:t>
      </w:r>
    </w:p>
    <w:p w:rsidR="00000000" w:rsidDel="00000000" w:rsidP="00000000" w:rsidRDefault="00000000" w:rsidRPr="00000000" w14:paraId="00000020">
      <w:pPr>
        <w:pStyle w:val="Heading5"/>
        <w:rPr/>
      </w:pPr>
      <w:bookmarkStart w:colFirst="0" w:colLast="0" w:name="_7ihfv4uk2crc" w:id="8"/>
      <w:bookmarkEnd w:id="8"/>
      <w:r w:rsidDel="00000000" w:rsidR="00000000" w:rsidRPr="00000000">
        <w:rPr>
          <w:rtl w:val="0"/>
        </w:rPr>
        <w:t xml:space="preserve">El "Legal Pack" (Fase 3)</w:t>
      </w:r>
    </w:p>
    <w:p w:rsidR="00000000" w:rsidDel="00000000" w:rsidP="00000000" w:rsidRDefault="00000000" w:rsidRPr="00000000" w14:paraId="00000021">
      <w:pPr>
        <w:rPr/>
      </w:pPr>
      <w:r w:rsidDel="00000000" w:rsidR="00000000" w:rsidRPr="00000000">
        <w:rPr>
          <w:rtl w:val="0"/>
        </w:rPr>
        <w:t xml:space="preserve">No se aprueba ningún proveedor sin:</w:t>
      </w:r>
    </w:p>
    <w:p w:rsidR="00000000" w:rsidDel="00000000" w:rsidP="00000000" w:rsidRDefault="00000000" w:rsidRPr="00000000" w14:paraId="00000022">
      <w:pPr>
        <w:numPr>
          <w:ilvl w:val="0"/>
          <w:numId w:val="9"/>
        </w:numPr>
        <w:ind w:left="720" w:hanging="360"/>
        <w:rPr>
          <w:u w:val="none"/>
        </w:rPr>
      </w:pPr>
      <w:r w:rsidDel="00000000" w:rsidR="00000000" w:rsidRPr="00000000">
        <w:rPr>
          <w:b w:val="1"/>
          <w:bCs w:val="1"/>
          <w:rtl w:val="0"/>
        </w:rPr>
        <w:t xml:space="preserve">DPA Completo:</w:t>
      </w:r>
      <w:r w:rsidDel="00000000" w:rsidR="00000000" w:rsidRPr="00000000">
        <w:rPr>
          <w:rtl w:val="0"/>
        </w:rPr>
        <w:t xml:space="preserve">  Contrato de encargado del tratamiento actualizado.</w:t>
      </w:r>
    </w:p>
    <w:p w:rsidR="00000000" w:rsidDel="00000000" w:rsidP="00000000" w:rsidRDefault="00000000" w:rsidRPr="00000000" w14:paraId="00000023">
      <w:pPr>
        <w:numPr>
          <w:ilvl w:val="0"/>
          <w:numId w:val="9"/>
        </w:numPr>
        <w:ind w:left="720" w:hanging="360"/>
        <w:rPr>
          <w:u w:val="none"/>
        </w:rPr>
      </w:pPr>
      <w:r w:rsidDel="00000000" w:rsidR="00000000" w:rsidRPr="00000000">
        <w:rPr>
          <w:b w:val="1"/>
          <w:bCs w:val="1"/>
          <w:rtl w:val="0"/>
        </w:rPr>
        <w:t xml:space="preserve">Addendum IA:</w:t>
      </w:r>
      <w:r w:rsidDel="00000000" w:rsidR="00000000" w:rsidRPr="00000000">
        <w:rPr>
          <w:rtl w:val="0"/>
        </w:rPr>
        <w:t xml:space="preserve">  Prohibición de entrenamiento y notificación de brechas en &lt;24 horas.</w:t>
      </w:r>
    </w:p>
    <w:p w:rsidR="00000000" w:rsidDel="00000000" w:rsidP="00000000" w:rsidRDefault="00000000" w:rsidRPr="00000000" w14:paraId="00000024">
      <w:pPr>
        <w:numPr>
          <w:ilvl w:val="0"/>
          <w:numId w:val="9"/>
        </w:numPr>
        <w:ind w:left="720" w:hanging="360"/>
        <w:rPr>
          <w:u w:val="none"/>
        </w:rPr>
      </w:pPr>
      <w:r w:rsidDel="00000000" w:rsidR="00000000" w:rsidRPr="00000000">
        <w:rPr>
          <w:b w:val="1"/>
          <w:bCs w:val="1"/>
          <w:rtl w:val="0"/>
        </w:rPr>
        <w:t xml:space="preserve">System Cards:</w:t>
      </w:r>
      <w:r w:rsidDel="00000000" w:rsidR="00000000" w:rsidRPr="00000000">
        <w:rPr>
          <w:rtl w:val="0"/>
        </w:rPr>
        <w:t xml:space="preserve">  Exigencia de documentación técnica del proveedor (siguiendo el estándar de Google Gemini System Cards) que detalle políticas de moderación y límites del modelo.</w:t>
      </w:r>
    </w:p>
    <w:p w:rsidR="00000000" w:rsidDel="00000000" w:rsidP="00000000" w:rsidRDefault="00000000" w:rsidRPr="00000000" w14:paraId="00000025">
      <w:pPr>
        <w:pStyle w:val="Heading5"/>
        <w:rPr/>
      </w:pPr>
      <w:bookmarkStart w:colFirst="0" w:colLast="0" w:name="_a0hcrrwqijow" w:id="9"/>
      <w:bookmarkEnd w:id="9"/>
      <w:r w:rsidDel="00000000" w:rsidR="00000000" w:rsidRPr="00000000">
        <w:rPr>
          <w:rtl w:val="0"/>
        </w:rPr>
        <w:t xml:space="preserve">Protocolo de Transparencia (Fase 4 - Art. 52.1)</w:t>
      </w:r>
    </w:p>
    <w:p w:rsidR="00000000" w:rsidDel="00000000" w:rsidP="00000000" w:rsidRDefault="00000000" w:rsidRPr="00000000" w14:paraId="00000026">
      <w:pPr>
        <w:rPr/>
      </w:pPr>
      <w:r w:rsidDel="00000000" w:rsidR="00000000" w:rsidRPr="00000000">
        <w:rPr>
          <w:rtl w:val="0"/>
        </w:rPr>
        <w:t xml:space="preserve">El etiquetado es una obligación legal vinculante. El incumplimiento activa el riesgo de sanción del 3% de facturación.</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Chatbots/Voz:</w:t>
      </w:r>
      <w:r w:rsidDel="00000000" w:rsidR="00000000" w:rsidRPr="00000000">
        <w:rPr>
          <w:rtl w:val="0"/>
        </w:rPr>
        <w:t xml:space="preserve">  Primer mensaje obligatorio:  </w:t>
      </w:r>
      <w:r w:rsidDel="00000000" w:rsidR="00000000" w:rsidRPr="00000000">
        <w:rPr>
          <w:i w:val="1"/>
          <w:iCs w:val="1"/>
          <w:rtl w:val="0"/>
        </w:rPr>
        <w:t xml:space="preserve">"Soy un asistente virtual de IA. Puedo equivocarme. Un humano puede revisar esta gestión."</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Email Marketing:</w:t>
      </w:r>
      <w:r w:rsidDel="00000000" w:rsidR="00000000" w:rsidRPr="00000000">
        <w:rPr>
          <w:rtl w:val="0"/>
        </w:rPr>
        <w:t xml:space="preserve">   </w:t>
      </w:r>
      <w:r w:rsidDel="00000000" w:rsidR="00000000" w:rsidRPr="00000000">
        <w:rPr>
          <w:i w:val="1"/>
          <w:iCs w:val="1"/>
          <w:rtl w:val="0"/>
        </w:rPr>
        <w:t xml:space="preserve">"Este mensaje fue redactado por IA y supervisado por humanos."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Contenido Audiovisual:</w:t>
      </w:r>
      <w:r w:rsidDel="00000000" w:rsidR="00000000" w:rsidRPr="00000000">
        <w:rPr>
          <w:rtl w:val="0"/>
        </w:rPr>
        <w:t xml:space="preserve">  Uso obligatorio de  </w:t>
      </w:r>
      <w:r w:rsidDel="00000000" w:rsidR="00000000" w:rsidRPr="00000000">
        <w:rPr>
          <w:b w:val="1"/>
          <w:bCs w:val="1"/>
          <w:rtl w:val="0"/>
        </w:rPr>
        <w:t xml:space="preserve">metadatos C2PA</w:t>
      </w:r>
      <w:r w:rsidDel="00000000" w:rsidR="00000000" w:rsidRPr="00000000">
        <w:rPr>
          <w:rtl w:val="0"/>
        </w:rPr>
        <w:t xml:space="preserve">  (estándar Adobe/Microsoft) o marcas de agua visibles para evitar la clasificación de "Prohibido".</w:t>
      </w:r>
    </w:p>
    <w:p w:rsidR="00000000" w:rsidDel="00000000" w:rsidP="00000000" w:rsidRDefault="00000000" w:rsidRPr="00000000" w14:paraId="0000002A">
      <w:pPr>
        <w:pStyle w:val="Heading4"/>
        <w:rPr/>
      </w:pPr>
      <w:bookmarkStart w:colFirst="0" w:colLast="0" w:name="_u5d6i9m9u9pe" w:id="10"/>
      <w:bookmarkEnd w:id="10"/>
      <w:r w:rsidDel="00000000" w:rsidR="00000000" w:rsidRPr="00000000">
        <w:rPr>
          <w:rtl w:val="0"/>
        </w:rPr>
        <w:t xml:space="preserve">4. Fase 5 y 6: Salvaguardas Técnicas y Gobernanza de MLOps</w:t>
      </w:r>
    </w:p>
    <w:p w:rsidR="00000000" w:rsidDel="00000000" w:rsidP="00000000" w:rsidRDefault="00000000" w:rsidRPr="00000000" w14:paraId="0000002B">
      <w:pPr>
        <w:rPr/>
      </w:pPr>
      <w:r w:rsidDel="00000000" w:rsidR="00000000" w:rsidRPr="00000000">
        <w:rPr>
          <w:rtl w:val="0"/>
        </w:rPr>
        <w:t xml:space="preserve">DevOps mantiene el sistema "online"; MLOps garantiza que las decisiones sean precisas.</w:t>
      </w:r>
    </w:p>
    <w:p w:rsidR="00000000" w:rsidDel="00000000" w:rsidP="00000000" w:rsidRDefault="00000000" w:rsidRPr="00000000" w14:paraId="0000002C">
      <w:pPr>
        <w:pStyle w:val="Heading5"/>
        <w:rPr/>
      </w:pPr>
      <w:bookmarkStart w:colFirst="0" w:colLast="0" w:name="_rvp2zm69mlzw" w:id="11"/>
      <w:bookmarkEnd w:id="11"/>
      <w:r w:rsidDel="00000000" w:rsidR="00000000" w:rsidRPr="00000000">
        <w:rPr>
          <w:rtl w:val="0"/>
        </w:rPr>
        <w:t xml:space="preserve">Control de Despliegue y Kill-switches (Fase 5)</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Despliegue Gradual:</w:t>
      </w:r>
      <w:r w:rsidDel="00000000" w:rsidR="00000000" w:rsidRPr="00000000">
        <w:rPr>
          <w:rtl w:val="0"/>
        </w:rPr>
        <w:t xml:space="preserve">  Escalado controlado de 0.5% a 100% en un ciclo de 14 días.</w:t>
      </w:r>
    </w:p>
    <w:p w:rsidR="00000000" w:rsidDel="00000000" w:rsidP="00000000" w:rsidRDefault="00000000" w:rsidRPr="00000000" w14:paraId="0000002E">
      <w:pPr>
        <w:numPr>
          <w:ilvl w:val="0"/>
          <w:numId w:val="5"/>
        </w:numPr>
        <w:ind w:left="720" w:hanging="360"/>
        <w:rPr>
          <w:b w:val="1"/>
          <w:bCs w:val="1"/>
        </w:rPr>
      </w:pPr>
      <w:r w:rsidDel="00000000" w:rsidR="00000000" w:rsidRPr="00000000">
        <w:rPr>
          <w:b w:val="1"/>
          <w:bCs w:val="1"/>
          <w:rtl w:val="0"/>
        </w:rPr>
        <w:t xml:space="preserve">Kill-switches:</w:t>
      </w:r>
    </w:p>
    <w:p w:rsidR="00000000" w:rsidDel="00000000" w:rsidP="00000000" w:rsidRDefault="00000000" w:rsidRPr="00000000" w14:paraId="0000002F">
      <w:pPr>
        <w:numPr>
          <w:ilvl w:val="0"/>
          <w:numId w:val="5"/>
        </w:numPr>
        <w:ind w:left="720" w:hanging="360"/>
        <w:rPr>
          <w:u w:val="none"/>
        </w:rPr>
      </w:pPr>
      <w:r w:rsidDel="00000000" w:rsidR="00000000" w:rsidRPr="00000000">
        <w:rPr>
          <w:i w:val="1"/>
          <w:iCs w:val="1"/>
          <w:rtl w:val="0"/>
        </w:rPr>
        <w:t xml:space="preserve">Manual:</w:t>
      </w:r>
      <w:r w:rsidDel="00000000" w:rsidR="00000000" w:rsidRPr="00000000">
        <w:rPr>
          <w:rtl w:val="0"/>
        </w:rPr>
        <w:t xml:space="preserve">  Botón de emergencia en dashboard (parada en &lt;3s).</w:t>
      </w:r>
    </w:p>
    <w:p w:rsidR="00000000" w:rsidDel="00000000" w:rsidP="00000000" w:rsidRDefault="00000000" w:rsidRPr="00000000" w14:paraId="00000030">
      <w:pPr>
        <w:numPr>
          <w:ilvl w:val="0"/>
          <w:numId w:val="5"/>
        </w:numPr>
        <w:ind w:left="720" w:hanging="360"/>
        <w:rPr>
          <w:u w:val="none"/>
        </w:rPr>
      </w:pPr>
      <w:r w:rsidDel="00000000" w:rsidR="00000000" w:rsidRPr="00000000">
        <w:rPr>
          <w:i w:val="1"/>
          <w:iCs w:val="1"/>
          <w:rtl w:val="0"/>
        </w:rPr>
        <w:t xml:space="preserve">Automático:</w:t>
      </w:r>
      <w:r w:rsidDel="00000000" w:rsidR="00000000" w:rsidRPr="00000000">
        <w:rPr>
          <w:rtl w:val="0"/>
        </w:rPr>
        <w:t xml:space="preserve">  Bloqueo de respuestas si el nivel de confianza (confidence score) es inferior al 85%.</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Trazabilidad:</w:t>
      </w:r>
      <w:r w:rsidDel="00000000" w:rsidR="00000000" w:rsidRPr="00000000">
        <w:rPr>
          <w:rtl w:val="0"/>
        </w:rPr>
        <w:t xml:space="preserve">  Mantenimiento de logs de auditoría por  </w:t>
      </w:r>
      <w:r w:rsidDel="00000000" w:rsidR="00000000" w:rsidRPr="00000000">
        <w:rPr>
          <w:b w:val="1"/>
          <w:bCs w:val="1"/>
          <w:rtl w:val="0"/>
        </w:rPr>
        <w:t xml:space="preserve">24 meses</w:t>
      </w:r>
      <w:r w:rsidDel="00000000" w:rsidR="00000000" w:rsidRPr="00000000">
        <w:rPr>
          <w:rtl w:val="0"/>
        </w:rPr>
        <w:t xml:space="preserve">  para acreditar diligencia debida.</w:t>
      </w:r>
    </w:p>
    <w:p w:rsidR="00000000" w:rsidDel="00000000" w:rsidP="00000000" w:rsidRDefault="00000000" w:rsidRPr="00000000" w14:paraId="00000032">
      <w:pPr>
        <w:pStyle w:val="Heading5"/>
        <w:rPr/>
      </w:pPr>
      <w:bookmarkStart w:colFirst="0" w:colLast="0" w:name="_4htz6bdqkomj" w:id="12"/>
      <w:bookmarkEnd w:id="12"/>
      <w:r w:rsidDel="00000000" w:rsidR="00000000" w:rsidRPr="00000000">
        <w:rPr>
          <w:rtl w:val="0"/>
        </w:rPr>
        <w:t xml:space="preserve">Evaluación Continua y Métricas (Fase 6)</w:t>
      </w:r>
    </w:p>
    <w:p w:rsidR="00000000" w:rsidDel="00000000" w:rsidP="00000000" w:rsidRDefault="00000000" w:rsidRPr="00000000" w14:paraId="00000033">
      <w:pPr>
        <w:rPr/>
      </w:pPr>
      <w:r w:rsidDel="00000000" w:rsidR="00000000" w:rsidRPr="00000000">
        <w:rPr>
          <w:rtl w:val="0"/>
        </w:rPr>
        <w:t xml:space="preserve">Para evitar el "Model Drift" (desviación del modelo), establecemos un calendario de auditoría trimestral.</w:t>
      </w:r>
      <w:r w:rsidDel="00000000" w:rsidR="00000000" w:rsidRPr="00000000">
        <w:rPr>
          <w:b w:val="1"/>
          <w:bCs w:val="1"/>
          <w:rtl w:val="0"/>
        </w:rPr>
        <w:t xml:space="preserve">Planificación de Capacidad y Rendimiento:</w:t>
      </w:r>
      <w:r w:rsidDel="00000000" w:rsidR="00000000" w:rsidRPr="00000000">
        <w:rPr>
          <w:rtl w:val="0"/>
        </w:rPr>
        <w:t xml:space="preserve">  Es vital que el CFO comprenda que el rendimiento no es lineal. Según datos de  </w:t>
      </w:r>
      <w:r w:rsidDel="00000000" w:rsidR="00000000" w:rsidRPr="00000000">
        <w:rPr>
          <w:b w:val="1"/>
          <w:bCs w:val="1"/>
          <w:rtl w:val="0"/>
        </w:rPr>
        <w:t xml:space="preserve">OpenMetal</w:t>
      </w:r>
      <w:r w:rsidDel="00000000" w:rsidR="00000000" w:rsidRPr="00000000">
        <w:rPr>
          <w:rtl w:val="0"/>
        </w:rPr>
        <w:t xml:space="preserve"> , el  </w:t>
      </w:r>
      <w:r w:rsidDel="00000000" w:rsidR="00000000" w:rsidRPr="00000000">
        <w:rPr>
          <w:b w:val="1"/>
          <w:bCs w:val="1"/>
          <w:rtl w:val="0"/>
        </w:rPr>
        <w:t xml:space="preserve">Eval (output) TPS es típicamente 10 veces más lento que el Prompt (input) TPS</w:t>
      </w:r>
      <w:r w:rsidDel="00000000" w:rsidR="00000000" w:rsidRPr="00000000">
        <w:rPr>
          <w:rtl w:val="0"/>
        </w:rPr>
        <w:t xml:space="preserve"> . Ignorar esto colapsa la experiencia del usuario bajo carga.| Métrica | Definición | Impacto Financiero / Operativo || ------ | ------ | ------ || </w:t>
      </w:r>
      <w:r w:rsidDel="00000000" w:rsidR="00000000" w:rsidRPr="00000000">
        <w:rPr>
          <w:b w:val="1"/>
          <w:bCs w:val="1"/>
          <w:rtl w:val="0"/>
        </w:rPr>
        <w:t xml:space="preserve">TPS (Tokens Per Second)</w:t>
      </w:r>
      <w:r w:rsidDel="00000000" w:rsidR="00000000" w:rsidRPr="00000000">
        <w:rPr>
          <w:rtl w:val="0"/>
        </w:rPr>
        <w:t xml:space="preserve"> | Velocidad de inferencia. | Define la escalabilidad y el coste de infraestructura. || </w:t>
      </w:r>
      <w:r w:rsidDel="00000000" w:rsidR="00000000" w:rsidRPr="00000000">
        <w:rPr>
          <w:b w:val="1"/>
          <w:bCs w:val="1"/>
          <w:rtl w:val="0"/>
        </w:rPr>
        <w:t xml:space="preserve">TTFT (Time to First Token)</w:t>
      </w:r>
      <w:r w:rsidDel="00000000" w:rsidR="00000000" w:rsidRPr="00000000">
        <w:rPr>
          <w:rtl w:val="0"/>
        </w:rPr>
        <w:t xml:space="preserve"> | Latencia hasta la primera respuesta. | Factor determinante en la retención del usuario (Chatbots). || </w:t>
      </w:r>
      <w:r w:rsidDel="00000000" w:rsidR="00000000" w:rsidRPr="00000000">
        <w:rPr>
          <w:b w:val="1"/>
          <w:bCs w:val="1"/>
          <w:rtl w:val="0"/>
        </w:rPr>
        <w:t xml:space="preserve">Ratio Input/Output</w:t>
      </w:r>
      <w:r w:rsidDel="00000000" w:rsidR="00000000" w:rsidRPr="00000000">
        <w:rPr>
          <w:rtl w:val="0"/>
        </w:rPr>
        <w:t xml:space="preserve"> | Proporción entre tokens enviados y generados. | Control de volatilidad en modelos de precios basados en uso. |</w:t>
      </w:r>
    </w:p>
    <w:p w:rsidR="00000000" w:rsidDel="00000000" w:rsidP="00000000" w:rsidRDefault="00000000" w:rsidRPr="00000000" w14:paraId="00000034">
      <w:pPr>
        <w:pStyle w:val="Heading4"/>
        <w:rPr/>
      </w:pPr>
      <w:bookmarkStart w:colFirst="0" w:colLast="0" w:name="_irx50phd9aib" w:id="13"/>
      <w:bookmarkEnd w:id="13"/>
      <w:r w:rsidDel="00000000" w:rsidR="00000000" w:rsidRPr="00000000">
        <w:rPr>
          <w:rtl w:val="0"/>
        </w:rPr>
        <w:t xml:space="preserve">5. Fase 7: Estructura de Gobernanza Interna y "AI Responsibility Fee"</w:t>
      </w:r>
    </w:p>
    <w:p w:rsidR="00000000" w:rsidDel="00000000" w:rsidP="00000000" w:rsidRDefault="00000000" w:rsidRPr="00000000" w14:paraId="00000035">
      <w:pPr>
        <w:pStyle w:val="Heading5"/>
        <w:rPr/>
      </w:pPr>
      <w:bookmarkStart w:colFirst="0" w:colLast="0" w:name="_d7gtfgh0y13e" w:id="14"/>
      <w:bookmarkEnd w:id="14"/>
      <w:r w:rsidDel="00000000" w:rsidR="00000000" w:rsidRPr="00000000">
        <w:rPr>
          <w:rtl w:val="0"/>
        </w:rPr>
        <w:t xml:space="preserve">Célula de Mando</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AI Officer:</w:t>
      </w:r>
      <w:r w:rsidDel="00000000" w:rsidR="00000000" w:rsidRPr="00000000">
        <w:rPr>
          <w:rtl w:val="0"/>
        </w:rPr>
        <w:t xml:space="preserve">  Autoridad de veto sobre herramientas y modelos.</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Comité de IA:</w:t>
      </w:r>
      <w:r w:rsidDel="00000000" w:rsidR="00000000" w:rsidRPr="00000000">
        <w:rPr>
          <w:rtl w:val="0"/>
        </w:rPr>
        <w:t xml:space="preserve">  Reunión mensual para auditar incidentes y actualizar la "Política Interna de Uso Responsable" (ej. Prohibición de usar versiones gratuitas de ChatGPT para datos corporativos).</w:t>
      </w:r>
    </w:p>
    <w:p w:rsidR="00000000" w:rsidDel="00000000" w:rsidP="00000000" w:rsidRDefault="00000000" w:rsidRPr="00000000" w14:paraId="00000038">
      <w:pPr>
        <w:pStyle w:val="Heading5"/>
        <w:rPr/>
      </w:pPr>
      <w:bookmarkStart w:colFirst="0" w:colLast="0" w:name="_2u1sp0pimms5" w:id="15"/>
      <w:bookmarkEnd w:id="15"/>
      <w:r w:rsidDel="00000000" w:rsidR="00000000" w:rsidRPr="00000000">
        <w:rPr>
          <w:rtl w:val="0"/>
        </w:rPr>
        <w:t xml:space="preserve">Estrategia Financiera y Márgenes</w:t>
      </w:r>
    </w:p>
    <w:p w:rsidR="00000000" w:rsidDel="00000000" w:rsidP="00000000" w:rsidRDefault="00000000" w:rsidRPr="00000000" w14:paraId="00000039">
      <w:pPr>
        <w:rPr/>
      </w:pPr>
      <w:r w:rsidDel="00000000" w:rsidR="00000000" w:rsidRPr="00000000">
        <w:rPr>
          <w:rtl w:val="0"/>
        </w:rPr>
        <w:t xml:space="preserve">Adoptamos el modelo de  </w:t>
      </w:r>
      <w:r w:rsidDel="00000000" w:rsidR="00000000" w:rsidRPr="00000000">
        <w:rPr>
          <w:b w:val="1"/>
          <w:bCs w:val="1"/>
          <w:rtl w:val="0"/>
        </w:rPr>
        <w:t xml:space="preserve">Pricing Híbrido</w:t>
      </w:r>
      <w:r w:rsidDel="00000000" w:rsidR="00000000" w:rsidRPr="00000000">
        <w:rPr>
          <w:rtl w:val="0"/>
        </w:rPr>
        <w:t xml:space="preserve">  (utilizado por el 56% de las empresas líderes según Stripe) para proteger el margen contra la volatilidad de los costes por uso.</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AI Responsibility Fee:</w:t>
      </w:r>
      <w:r w:rsidDel="00000000" w:rsidR="00000000" w:rsidRPr="00000000">
        <w:rPr>
          <w:rtl w:val="0"/>
        </w:rPr>
        <w:t xml:space="preserve">  Justificamos un sobrecoste del  </w:t>
      </w:r>
      <w:r w:rsidDel="00000000" w:rsidR="00000000" w:rsidRPr="00000000">
        <w:rPr>
          <w:b w:val="1"/>
          <w:bCs w:val="1"/>
          <w:rtl w:val="0"/>
        </w:rPr>
        <w:t xml:space="preserve">15-25%</w:t>
      </w:r>
      <w:r w:rsidDel="00000000" w:rsidR="00000000" w:rsidRPr="00000000">
        <w:rPr>
          <w:rtl w:val="0"/>
        </w:rPr>
        <w:t xml:space="preserve">  (rango de 18.000€ a 45.000€) en proyectos enterprise.</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bCs w:val="1"/>
          <w:rtl w:val="0"/>
        </w:rPr>
        <w:t xml:space="preserve">Valor Estratégico:</w:t>
      </w:r>
      <w:r w:rsidDel="00000000" w:rsidR="00000000" w:rsidRPr="00000000">
        <w:rPr>
          <w:rtl w:val="0"/>
        </w:rPr>
        <w:t xml:space="preserve">  Este fee no es un margen arbitrario; cubre el blindaje, la auditoría continua y la transferencia de riesgo. La adopción de este protocolo  </w:t>
      </w:r>
      <w:r w:rsidDel="00000000" w:rsidR="00000000" w:rsidRPr="00000000">
        <w:rPr>
          <w:b w:val="1"/>
          <w:bCs w:val="1"/>
          <w:rtl w:val="0"/>
        </w:rPr>
        <w:t xml:space="preserve">acelera el cierre de ventas en un 41%</w:t>
      </w:r>
      <w:r w:rsidDel="00000000" w:rsidR="00000000" w:rsidRPr="00000000">
        <w:rPr>
          <w:rtl w:val="0"/>
        </w:rPr>
        <w:t xml:space="preserve"> , al ofrecer garantías de seguridad que el mercado genérico no puede igualar.</w:t>
      </w:r>
    </w:p>
    <w:p w:rsidR="00000000" w:rsidDel="00000000" w:rsidP="00000000" w:rsidRDefault="00000000" w:rsidRPr="00000000" w14:paraId="0000003C">
      <w:pPr>
        <w:pStyle w:val="Heading4"/>
        <w:rPr/>
      </w:pPr>
      <w:bookmarkStart w:colFirst="0" w:colLast="0" w:name="_wjsi9bajrpsb" w:id="16"/>
      <w:bookmarkEnd w:id="16"/>
      <w:r w:rsidDel="00000000" w:rsidR="00000000" w:rsidRPr="00000000">
        <w:rPr>
          <w:rtl w:val="0"/>
        </w:rPr>
        <w:t xml:space="preserve">6. El Marco de Decisión: Build vs. Buy y ROI</w:t>
      </w:r>
    </w:p>
    <w:p w:rsidR="00000000" w:rsidDel="00000000" w:rsidP="00000000" w:rsidRDefault="00000000" w:rsidRPr="00000000" w14:paraId="0000003D">
      <w:pPr>
        <w:pStyle w:val="Heading5"/>
        <w:rPr/>
      </w:pPr>
      <w:bookmarkStart w:colFirst="0" w:colLast="0" w:name="_z928nb31k36h" w:id="17"/>
      <w:bookmarkEnd w:id="17"/>
      <w:r w:rsidDel="00000000" w:rsidR="00000000" w:rsidRPr="00000000">
        <w:rPr>
          <w:rtl w:val="0"/>
        </w:rPr>
        <w:t xml:space="preserve">Cuadro de TCO (Total Cost of Ownership) - Datos MSBC Group</w:t>
      </w:r>
    </w:p>
    <w:p w:rsidR="00000000" w:rsidDel="00000000" w:rsidP="00000000" w:rsidRDefault="00000000" w:rsidRPr="00000000" w14:paraId="0000003E">
      <w:pPr>
        <w:rPr/>
      </w:pPr>
      <w:r w:rsidDel="00000000" w:rsidR="00000000" w:rsidRPr="00000000">
        <w:rPr>
          <w:rtl w:val="0"/>
        </w:rPr>
        <w:t xml:space="preserve">Factor de Coste,Build (Construir),Buy (SaaS/API)</w:t>
      </w:r>
    </w:p>
    <w:p w:rsidR="00000000" w:rsidDel="00000000" w:rsidP="00000000" w:rsidRDefault="00000000" w:rsidRPr="00000000" w14:paraId="0000003F">
      <w:pPr>
        <w:rPr/>
      </w:pPr>
      <w:r w:rsidDel="00000000" w:rsidR="00000000" w:rsidRPr="00000000">
        <w:rPr>
          <w:rtl w:val="0"/>
        </w:rPr>
        <w:t xml:space="preserve">Inversión Inicial,3x a 5x superior.,Coste de setup moderado.</w:t>
      </w:r>
    </w:p>
    <w:p w:rsidR="00000000" w:rsidDel="00000000" w:rsidP="00000000" w:rsidRDefault="00000000" w:rsidRPr="00000000" w14:paraId="00000040">
      <w:pPr>
        <w:rPr/>
      </w:pPr>
      <w:r w:rsidDel="00000000" w:rsidR="00000000" w:rsidRPr="00000000">
        <w:rPr>
          <w:rtl w:val="0"/>
        </w:rPr>
        <w:t xml:space="preserve">Mantenimiento Anual,35%  del coste inicial.,15-20%  de la suscripción.</w:t>
      </w:r>
    </w:p>
    <w:p w:rsidR="00000000" w:rsidDel="00000000" w:rsidP="00000000" w:rsidRDefault="00000000" w:rsidRPr="00000000" w14:paraId="00000041">
      <w:pPr>
        <w:rPr/>
      </w:pPr>
      <w:r w:rsidDel="00000000" w:rsidR="00000000" w:rsidRPr="00000000">
        <w:rPr>
          <w:rtl w:val="0"/>
        </w:rPr>
        <w:t xml:space="preserve">Integración,Nativa y fluida.,40% más compleja  de lo previsto.</w:t>
      </w:r>
    </w:p>
    <w:p w:rsidR="00000000" w:rsidDel="00000000" w:rsidP="00000000" w:rsidRDefault="00000000" w:rsidRPr="00000000" w14:paraId="00000042">
      <w:pPr>
        <w:rPr/>
      </w:pPr>
      <w:r w:rsidDel="00000000" w:rsidR="00000000" w:rsidRPr="00000000">
        <w:rPr>
          <w:rtl w:val="0"/>
        </w:rPr>
        <w:t xml:space="preserve">Talento Necesario,7-10 roles especializados.,Mínimo personal interno.</w:t>
      </w:r>
    </w:p>
    <w:p w:rsidR="00000000" w:rsidDel="00000000" w:rsidP="00000000" w:rsidRDefault="00000000" w:rsidRPr="00000000" w14:paraId="00000043">
      <w:pPr>
        <w:rPr/>
      </w:pPr>
      <w:r w:rsidDel="00000000" w:rsidR="00000000" w:rsidRPr="00000000">
        <w:rPr>
          <w:b w:val="1"/>
          <w:bCs w:val="1"/>
          <w:rtl w:val="0"/>
        </w:rPr>
        <w:t xml:space="preserve">Visión del CFO sobre el ROI:</w:t>
      </w:r>
      <w:r w:rsidDel="00000000" w:rsidR="00000000" w:rsidRPr="00000000">
        <w:rPr>
          <w:rtl w:val="0"/>
        </w:rPr>
        <w:t xml:space="preserve">  No medimos "ahorro de horas", medimos impacto en el P&amp;L. Según McKinsey, una implementación exitosa eleva el  </w:t>
      </w:r>
      <w:r w:rsidDel="00000000" w:rsidR="00000000" w:rsidRPr="00000000">
        <w:rPr>
          <w:b w:val="1"/>
          <w:bCs w:val="1"/>
          <w:rtl w:val="0"/>
        </w:rPr>
        <w:t xml:space="preserve">EBITDA entre un 20-25%</w:t>
      </w:r>
      <w:r w:rsidDel="00000000" w:rsidR="00000000" w:rsidRPr="00000000">
        <w:rPr>
          <w:rtl w:val="0"/>
        </w:rPr>
        <w:t xml:space="preserve"> .</w:t>
      </w:r>
    </w:p>
    <w:p w:rsidR="00000000" w:rsidDel="00000000" w:rsidP="00000000" w:rsidRDefault="00000000" w:rsidRPr="00000000" w14:paraId="00000044">
      <w:pPr>
        <w:numPr>
          <w:ilvl w:val="0"/>
          <w:numId w:val="7"/>
        </w:numPr>
        <w:ind w:left="720" w:hanging="360"/>
        <w:rPr>
          <w:u w:val="none"/>
        </w:rPr>
      </w:pPr>
      <w:r w:rsidDel="00000000" w:rsidR="00000000" w:rsidRPr="00000000">
        <w:rPr>
          <w:i w:val="1"/>
          <w:iCs w:val="1"/>
          <w:rtl w:val="0"/>
        </w:rPr>
        <w:t xml:space="preserve">Ejemplo real:</w:t>
      </w:r>
      <w:r w:rsidDel="00000000" w:rsidR="00000000" w:rsidRPr="00000000">
        <w:rPr>
          <w:rtl w:val="0"/>
        </w:rPr>
        <w:t xml:space="preserve">  Una compañía de  $2B que mejora la precisión de sus previsiones en solo un 2% mediante IA, libera </w:t>
      </w:r>
      <w:r w:rsidDel="00000000" w:rsidR="00000000" w:rsidRPr="00000000">
        <w:rPr>
          <w:b w:val="1"/>
          <w:bCs w:val="1"/>
          <w:rtl w:val="0"/>
        </w:rPr>
        <w:t xml:space="preserve">$ 40M en capital de trabajo</w:t>
      </w:r>
      <w:r w:rsidDel="00000000" w:rsidR="00000000" w:rsidRPr="00000000">
        <w:rPr>
          <w:rtl w:val="0"/>
        </w:rPr>
        <w:t xml:space="preserve">.</w:t>
      </w:r>
    </w:p>
    <w:p w:rsidR="00000000" w:rsidDel="00000000" w:rsidP="00000000" w:rsidRDefault="00000000" w:rsidRPr="00000000" w14:paraId="00000045">
      <w:pPr>
        <w:numPr>
          <w:ilvl w:val="0"/>
          <w:numId w:val="7"/>
        </w:numPr>
        <w:ind w:left="720" w:hanging="360"/>
        <w:rPr>
          <w:u w:val="none"/>
        </w:rPr>
      </w:pPr>
      <w:r w:rsidDel="00000000" w:rsidR="00000000" w:rsidRPr="00000000">
        <w:rPr>
          <w:i w:val="1"/>
          <w:iCs w:val="1"/>
          <w:rtl w:val="0"/>
        </w:rPr>
        <w:t xml:space="preserve">Eficiencia operativa:</w:t>
      </w:r>
      <w:r w:rsidDel="00000000" w:rsidR="00000000" w:rsidRPr="00000000">
        <w:rPr>
          <w:rtl w:val="0"/>
        </w:rPr>
        <w:t xml:space="preserve">  Los agentes de voz (IA) cuestan entre  </w:t>
      </w:r>
      <w:r w:rsidDel="00000000" w:rsidR="00000000" w:rsidRPr="00000000">
        <w:rPr>
          <w:b w:val="1"/>
          <w:bCs w:val="1"/>
          <w:rtl w:val="0"/>
        </w:rPr>
        <w:t xml:space="preserve">0,10€ y 0,13€/min</w:t>
      </w:r>
      <w:r w:rsidDel="00000000" w:rsidR="00000000" w:rsidRPr="00000000">
        <w:rPr>
          <w:rtl w:val="0"/>
        </w:rPr>
        <w:t xml:space="preserve"> , frente a los 3,50€-6,00€ del agente humano (ahorro del 80-85%).</w:t>
      </w:r>
    </w:p>
    <w:p w:rsidR="00000000" w:rsidDel="00000000" w:rsidP="00000000" w:rsidRDefault="00000000" w:rsidRPr="00000000" w14:paraId="00000046">
      <w:pPr>
        <w:pStyle w:val="Heading4"/>
        <w:rPr/>
      </w:pPr>
      <w:bookmarkStart w:colFirst="0" w:colLast="0" w:name="_wuszbb3lx3gt" w:id="18"/>
      <w:bookmarkEnd w:id="18"/>
      <w:r w:rsidDel="00000000" w:rsidR="00000000" w:rsidRPr="00000000">
        <w:rPr>
          <w:rtl w:val="0"/>
        </w:rPr>
        <w:t xml:space="preserve">7. Preparación ante Inspecciones y Checklist Maestro</w:t>
      </w:r>
    </w:p>
    <w:p w:rsidR="00000000" w:rsidDel="00000000" w:rsidP="00000000" w:rsidRDefault="00000000" w:rsidRPr="00000000" w14:paraId="00000047">
      <w:pPr>
        <w:rPr/>
      </w:pPr>
      <w:r w:rsidDel="00000000" w:rsidR="00000000" w:rsidRPr="00000000">
        <w:rPr>
          <w:rtl w:val="0"/>
        </w:rPr>
        <w:t xml:space="preserve">La proactividad ante la AEPD es nuestra mejor defensa. Ante un requerimiento, presentaremos el registro de casos de uso, evidencias de supervisión humana y contratos TIA/DPA.</w:t>
      </w:r>
    </w:p>
    <w:p w:rsidR="00000000" w:rsidDel="00000000" w:rsidP="00000000" w:rsidRDefault="00000000" w:rsidRPr="00000000" w14:paraId="00000048">
      <w:pPr>
        <w:pStyle w:val="Heading5"/>
        <w:rPr/>
      </w:pPr>
      <w:bookmarkStart w:colFirst="0" w:colLast="0" w:name="_u243uv3yx0j8" w:id="19"/>
      <w:bookmarkEnd w:id="19"/>
      <w:r w:rsidDel="00000000" w:rsidR="00000000" w:rsidRPr="00000000">
        <w:rPr>
          <w:rtl w:val="0"/>
        </w:rPr>
        <w:t xml:space="preserve">Checklist Maestro de Cumplimiento (7 Fases)</w:t>
      </w:r>
    </w:p>
    <w:p w:rsidR="00000000" w:rsidDel="00000000" w:rsidP="00000000" w:rsidRDefault="00000000" w:rsidRPr="00000000" w14:paraId="00000049">
      <w:pPr>
        <w:rPr/>
      </w:pPr>
      <w:r w:rsidDel="00000000" w:rsidR="00000000" w:rsidRPr="00000000">
        <w:rPr>
          <w:rtl w:val="0"/>
        </w:rPr>
        <w:t xml:space="preserve">Fase,Acción,Evidencia Requerida,Frecuencia</w:t>
      </w:r>
    </w:p>
    <w:p w:rsidR="00000000" w:rsidDel="00000000" w:rsidP="00000000" w:rsidRDefault="00000000" w:rsidRPr="00000000" w14:paraId="0000004A">
      <w:pPr>
        <w:rPr/>
      </w:pPr>
      <w:r w:rsidDel="00000000" w:rsidR="00000000" w:rsidRPr="00000000">
        <w:rPr>
          <w:rtl w:val="0"/>
        </w:rPr>
        <w:t xml:space="preserve">1,Clasificación de Riesgo,Registro de Casos de Uso (PDF).,Por Proyecto</w:t>
      </w:r>
    </w:p>
    <w:p w:rsidR="00000000" w:rsidDel="00000000" w:rsidP="00000000" w:rsidRDefault="00000000" w:rsidRPr="00000000" w14:paraId="0000004B">
      <w:pPr>
        <w:rPr/>
      </w:pPr>
      <w:r w:rsidDel="00000000" w:rsidR="00000000" w:rsidRPr="00000000">
        <w:rPr>
          <w:rtl w:val="0"/>
        </w:rPr>
        <w:t xml:space="preserve">2,Auditoría de Datos,Evaluación de IA-Value y PDF de TIA.,Por Proyecto</w:t>
      </w:r>
    </w:p>
    <w:p w:rsidR="00000000" w:rsidDel="00000000" w:rsidP="00000000" w:rsidRDefault="00000000" w:rsidRPr="00000000" w14:paraId="0000004C">
      <w:pPr>
        <w:rPr/>
      </w:pPr>
      <w:r w:rsidDel="00000000" w:rsidR="00000000" w:rsidRPr="00000000">
        <w:rPr>
          <w:rtl w:val="0"/>
        </w:rPr>
        <w:t xml:space="preserve">3,Blindaje Legal,Contratos DPA + AI Addendum firmados.,Anual</w:t>
      </w:r>
    </w:p>
    <w:p w:rsidR="00000000" w:rsidDel="00000000" w:rsidP="00000000" w:rsidRDefault="00000000" w:rsidRPr="00000000" w14:paraId="0000004D">
      <w:pPr>
        <w:rPr/>
      </w:pPr>
      <w:r w:rsidDel="00000000" w:rsidR="00000000" w:rsidRPr="00000000">
        <w:rPr>
          <w:rtl w:val="0"/>
        </w:rPr>
        <w:t xml:space="preserve">4,Transparencia,Capturas de avisos Art. 52.1 y Metadatos C2PA.,Trimestral</w:t>
      </w:r>
    </w:p>
    <w:p w:rsidR="00000000" w:rsidDel="00000000" w:rsidP="00000000" w:rsidRDefault="00000000" w:rsidRPr="00000000" w14:paraId="0000004E">
      <w:pPr>
        <w:rPr/>
      </w:pPr>
      <w:r w:rsidDel="00000000" w:rsidR="00000000" w:rsidRPr="00000000">
        <w:rPr>
          <w:rtl w:val="0"/>
        </w:rPr>
        <w:t xml:space="preserve">5,Safeguards,Logs de Kill-switch y Auditoría (24 meses).,Mensual</w:t>
      </w:r>
    </w:p>
    <w:p w:rsidR="00000000" w:rsidDel="00000000" w:rsidP="00000000" w:rsidRDefault="00000000" w:rsidRPr="00000000" w14:paraId="0000004F">
      <w:pPr>
        <w:rPr/>
      </w:pPr>
      <w:r w:rsidDel="00000000" w:rsidR="00000000" w:rsidRPr="00000000">
        <w:rPr>
          <w:rtl w:val="0"/>
        </w:rPr>
        <w:t xml:space="preserve">6,MLOps Drift Audit,Informe de Accuracy y Test de Sesgos.,Trimestral</w:t>
      </w:r>
    </w:p>
    <w:p w:rsidR="00000000" w:rsidDel="00000000" w:rsidP="00000000" w:rsidRDefault="00000000" w:rsidRPr="00000000" w14:paraId="00000050">
      <w:pPr>
        <w:rPr/>
      </w:pPr>
      <w:r w:rsidDel="00000000" w:rsidR="00000000" w:rsidRPr="00000000">
        <w:rPr>
          <w:rtl w:val="0"/>
        </w:rPr>
        <w:t xml:space="preserve">7,Gobernanza,Acta del Comité de IA y AI Responsibility Fee.,Mensual</w:t>
      </w:r>
    </w:p>
    <w:p w:rsidR="00000000" w:rsidDel="00000000" w:rsidP="00000000" w:rsidRDefault="00000000" w:rsidRPr="00000000" w14:paraId="00000051">
      <w:pPr>
        <w:rPr/>
      </w:pPr>
      <w:r w:rsidDel="00000000" w:rsidR="00000000" w:rsidRPr="00000000">
        <w:rPr>
          <w:b w:val="1"/>
          <w:bCs w:val="1"/>
          <w:rtl w:val="0"/>
        </w:rPr>
        <w:t xml:space="preserve">Conclusión:</w:t>
      </w:r>
      <w:r w:rsidDel="00000000" w:rsidR="00000000" w:rsidRPr="00000000">
        <w:rPr>
          <w:rtl w:val="0"/>
        </w:rPr>
        <w:t xml:space="preserve">  En el ciclo 2025-2026, la gobernanza no es un freno, sino el acelerador de una IA rentable. Aquellos que ignoren este protocolo asumirán riesgos incalculables; aquellos que lo implementen, liderarán un mercado donde la confianza es el activo más escaso y valioso.</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