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análisis_de_precios_mercado_inmobiliario"/>
      <w:r>
        <w:rPr>
          <w:rFonts w:eastAsia="Georgia" w:cs="Georgia" w:ascii="Georgia" w:hAnsi="Georgia"/>
          <w:b/>
          <w:sz w:val="56"/>
        </w:rPr>
        <w:t xml:space="preserve">ANÁLISIS DE PRECIOS MERCADO INMOBILIARIO</w:t>
      </w:r>
      <w:bookmarkEnd w:id="0"/>
    </w:p>
    <w:p>
      <w:pPr>
        <w:spacing w:line="271" w:before="240" w:lineRule="auto"/>
      </w:pPr>
      <w:bookmarkStart w:id="1" w:name="suroeste_de_mallorca_2026"/>
      <w:r>
        <w:rPr>
          <w:b/>
          <w:sz w:val="42"/>
        </w:rPr>
        <w:t xml:space="preserve">SUROESTE DE MALLORCA 2026</w:t>
      </w:r>
      <w:bookmarkEnd w:id="1"/>
    </w:p>
    <w:p>
      <w:pPr>
        <w:spacing w:after="210" w:lineRule="auto"/>
      </w:pPr>
      <w:r>
        <w:rPr>
          <w:b/>
        </w:rPr>
        <w:t xml:space="preserve">Documento técnico - Actualizado marzo 2026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" w:name="resumen_ejecutivo"/>
      <w:r>
        <w:rPr>
          <w:b/>
          <w:sz w:val="42"/>
        </w:rPr>
        <w:t xml:space="preserve">RESUMEN EJECUTIVO</w:t>
      </w:r>
      <w:bookmarkEnd w:id="2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El suroeste de Mallorca (Calvià y Andratx) presenta los precios más elevados del archipiélago balear, con diferenciales del </w:t>
      </w:r>
      <w:r>
        <w:rPr>
          <w:b/>
        </w:rPr>
        <w:t xml:space="preserve">+34% al +46%</w:t>
      </w:r>
      <w:r>
        <w:rPr>
          <w:rFonts w:eastAsia="Georgia" w:cs="Georgia" w:ascii="Georgia" w:hAnsi="Georgia"/>
        </w:rPr>
        <w:t xml:space="preserve"> sobre la media regional. El análisis detallado revela microzonas donde el precio supera los </w:t>
      </w:r>
      <w:r>
        <w:rPr>
          <w:b/>
        </w:rPr>
        <w:t xml:space="preserve">9.000 €/m²</w:t>
      </w:r>
      <w:r>
        <w:rPr>
          <w:rFonts w:eastAsia="Georgia" w:cs="Georgia" w:ascii="Georgia" w:hAnsi="Georgia"/>
        </w:rPr>
        <w:t xml:space="preserve">, estableciendo récords mediterráneos en segmento residencial premium[1][2].</w:t>
      </w:r>
    </w:p>
    <w:p>
      <w:pPr>
        <w:spacing w:line="271" w:before="240" w:lineRule="auto"/>
      </w:pPr>
      <w:bookmarkStart w:id="3" w:name="bm_1_precios_venta_por_m²_febrero_2026"/>
      <w:r>
        <w:rPr>
          <w:rFonts w:eastAsia="Georgia" w:cs="Georgia" w:ascii="Georgia" w:hAnsi="Georgia"/>
          <w:b/>
          <w:sz w:val="42"/>
        </w:rPr>
        <w:t xml:space="preserve">1. PRECIOS VENTA POR M² - FEBRERO 2026</w:t>
      </w:r>
      <w:bookmarkEnd w:id="3"/>
    </w:p>
    <w:p>
      <w:pPr>
        <w:spacing w:line="271" w:before="240" w:lineRule="auto"/>
      </w:pPr>
      <w:bookmarkStart w:id="4" w:name="bm_1_1_contexto_regional_baleares"/>
      <w:r>
        <w:rPr>
          <w:b/>
          <w:sz w:val="33"/>
        </w:rPr>
        <w:t xml:space="preserve">1.1 Contexto Regional Baleares</w:t>
      </w:r>
      <w:bookmarkEnd w:id="4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Territorio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Precio €/m²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Var. Mensual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Var. Anual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BALEARES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5.228 €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+0,7%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+9,2%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Palma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5.131 €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+0,9%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+13,4%</w:t>
            </w:r>
          </w:p>
        </w:tc>
      </w:tr>
    </w:tbl>
    <w:p>
      <w:pPr>
        <w:spacing w:lineRule="auto"/>
      </w:pPr>
    </w:p>
    <w:p>
      <w:pPr>
        <w:spacing w:lineRule="auto"/>
      </w:pPr>
      <w:r>
        <w:rPr/>
        <w:t xml:space="preserve">Table 1: Precios medios vivienda Baleares - Febrero 2026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El archipiélago alcanza máximos históricos en febrero 2026, con un crecimiento anual sostenido del 9,2%. Palma registra el mayor incremento interanual (+13,4%), consolidándose como el mercado más dinámico de las islas[1].</w:t>
      </w:r>
    </w:p>
    <w:p>
      <w:pPr>
        <w:spacing w:line="271" w:before="240" w:lineRule="auto"/>
      </w:pPr>
      <w:bookmarkStart w:id="5" w:name="bm_1_2_suroeste_premium_nivel_municipal"/>
      <w:r>
        <w:rPr>
          <w:b/>
          <w:sz w:val="33"/>
        </w:rPr>
        <w:t xml:space="preserve">1.2 Suroeste Premium - Nivel Municipal</w:t>
      </w:r>
      <w:bookmarkEnd w:id="5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Municipio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€/m²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Var. Mensual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Var. Anual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Premium vs Baleares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Calvià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7.014 €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+0,7%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+5,2%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+34,2%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Andratx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7.628 €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+1,2%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0,0%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+45,9%</w:t>
            </w:r>
          </w:p>
        </w:tc>
      </w:tr>
    </w:tbl>
    <w:p>
      <w:pPr>
        <w:spacing w:lineRule="auto"/>
      </w:pPr>
    </w:p>
    <w:p>
      <w:pPr>
        <w:spacing w:lineRule="auto"/>
      </w:pPr>
      <w:r>
        <w:rPr/>
        <w:t xml:space="preserve">Table 2: Comparativa precios municipios suroeste</w:t>
      </w:r>
    </w:p>
    <w:p>
      <w:pPr>
        <w:spacing w:after="210" w:lineRule="auto"/>
      </w:pPr>
      <w:r>
        <w:rPr>
          <w:b/>
        </w:rPr>
        <w:t xml:space="preserve">Análisis Calvià:</w:t>
      </w:r>
      <w:r>
        <w:rPr>
          <w:rFonts w:eastAsia="Georgia" w:cs="Georgia" w:ascii="Georgia" w:hAnsi="Georgia"/>
        </w:rPr>
        <w:t xml:space="preserve"> El precio se estabiliza en el rango 6.900-7.100 €/m² desde el cuarto trimestre de 2025. El crecimiento anual (+5,2%) inferior a la media balear indica una </w:t>
      </w:r>
      <w:r>
        <w:rPr>
          <w:b/>
        </w:rPr>
        <w:t xml:space="preserve">maduración del mercado</w:t>
      </w:r>
      <w:r>
        <w:rPr>
          <w:rFonts w:eastAsia="Georgia" w:cs="Georgia" w:ascii="Georgia" w:hAnsi="Georgia"/>
        </w:rPr>
        <w:t xml:space="preserve"> en niveles máximos[2].</w:t>
      </w:r>
    </w:p>
    <w:p>
      <w:pPr>
        <w:spacing w:after="210" w:lineRule="auto"/>
      </w:pPr>
      <w:r>
        <w:rPr>
          <w:b/>
        </w:rPr>
        <w:t xml:space="preserve">Análisis Andratx:</w:t>
      </w:r>
      <w:r>
        <w:rPr>
          <w:rFonts w:eastAsia="Georgia" w:cs="Georgia" w:ascii="Georgia" w:hAnsi="Georgia"/>
        </w:rPr>
        <w:t xml:space="preserve"> La variación anual del 0,0% evidencia un </w:t>
      </w:r>
      <w:r>
        <w:rPr>
          <w:b/>
        </w:rPr>
        <w:t xml:space="preserve">techo psicológico</w:t>
      </w:r>
      <w:r>
        <w:rPr>
          <w:rFonts w:eastAsia="Georgia" w:cs="Georgia" w:ascii="Georgia" w:hAnsi="Georgia"/>
        </w:rPr>
        <w:t xml:space="preserve"> en torno a los 7.600 €/m². La escasez extrema de suelo disponible (0,57 hectáreas según PTIM) mantiene los precios en máximos históricos sin posibilidad de caída significativa[3].</w:t>
      </w:r>
    </w:p>
    <w:p>
      <w:pPr>
        <w:spacing w:line="271" w:before="240" w:lineRule="auto"/>
      </w:pPr>
      <w:bookmarkStart w:id="6" w:name="bm_1_3_microzonas_ultra_premium_e_f5e778"/>
      <w:r>
        <w:rPr>
          <w:b/>
          <w:sz w:val="33"/>
        </w:rPr>
        <w:t xml:space="preserve">1.3 Microzonas Ultra-Premium - Enero 2026</w:t>
      </w:r>
      <w:bookmarkEnd w:id="6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Zona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Municipio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Venta €/m²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Alquiler €/m²/mes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Portals Nous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Calvià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9.016 €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26,08 €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Puerto Portals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Calvià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8.500-9.500 €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27-30 €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Puerto Andratx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Andratx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9.000-12.000 €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25-35 €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Cas Català-Illetes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Calvià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7.911 €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El Toro / Port Adriano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Calvià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7.475 €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Santa Ponça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Calvià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5.940 €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21,6 €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Peguera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Calvià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6.714 €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-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rFonts w:eastAsia="Georgia" w:cs="Georgia" w:ascii="Georgia" w:hAnsi="Georgia"/>
        </w:rPr>
        <w:t xml:space="preserve">Table 3: Precios zonas específicas suroeste - Fuente: Indomio, Idealista</w:t>
      </w:r>
    </w:p>
    <w:p>
      <w:pPr>
        <w:spacing w:after="210" w:lineRule="auto"/>
      </w:pPr>
      <w:r>
        <w:rPr>
          <w:b/>
        </w:rPr>
        <w:t xml:space="preserve">Portals Nous:</w:t>
      </w:r>
      <w:r>
        <w:rPr>
          <w:rFonts w:eastAsia="Georgia" w:cs="Georgia" w:ascii="Georgia" w:hAnsi="Georgia"/>
        </w:rPr>
        <w:t xml:space="preserve"> Registra el precio más elevado de Calvià con </w:t>
      </w:r>
      <w:r>
        <w:rPr>
          <w:b/>
        </w:rPr>
        <w:t xml:space="preserve">9.016 €/m²</w:t>
      </w:r>
      <w:r>
        <w:rPr/>
        <w:t xml:space="preserve">, representando un </w:t>
      </w:r>
      <w:r>
        <w:rPr>
          <w:b/>
        </w:rPr>
        <w:t xml:space="preserve">+72% sobre la media municipal</w:t>
      </w:r>
      <w:r>
        <w:rPr>
          <w:rFonts w:eastAsia="Georgia" w:cs="Georgia" w:ascii="Georgia" w:hAnsi="Georgia"/>
        </w:rPr>
        <w:t xml:space="preserve">. La zona alcanzó su máximo histórico en octubre 2025 (9.125 €/m²) y muestra estabilidad en niveles récord (+0,22% variación enero 2026 vs marzo 2025)[4].</w:t>
      </w:r>
    </w:p>
    <w:p>
      <w:pPr>
        <w:spacing w:after="210" w:lineRule="auto"/>
      </w:pPr>
      <w:r>
        <w:rPr>
          <w:b/>
        </w:rPr>
        <w:t xml:space="preserve">Puerto Andratx:</w:t>
      </w:r>
      <w:r>
        <w:rPr>
          <w:rFonts w:eastAsia="Georgia" w:cs="Georgia" w:ascii="Georgia" w:hAnsi="Georgia"/>
        </w:rPr>
        <w:t xml:space="preserve"> El rango amplio (9.000-12.000 €/m²) refleja la heterogeneidad según ubicación exacta. Las propiedades de primera línea de mar superan los 12.000 €/m², mientras que en propiedades ultra-lujo (&gt;5 millones €) el precio puede alcanzar </w:t>
      </w:r>
      <w:r>
        <w:rPr>
          <w:b/>
        </w:rPr>
        <w:t xml:space="preserve">15.000 €/m²</w:t>
      </w:r>
      <w:r>
        <w:rPr/>
        <w:t xml:space="preserve">[5].</w:t>
      </w:r>
    </w:p>
    <w:p>
      <w:pPr>
        <w:spacing w:line="271" w:before="240" w:lineRule="auto"/>
      </w:pPr>
      <w:bookmarkStart w:id="7" w:name="bm_1_4_comparativa_zonas_premium_palma"/>
      <w:r>
        <w:rPr>
          <w:b/>
          <w:sz w:val="33"/>
        </w:rPr>
        <w:t xml:space="preserve">1.4 Comparativa Zonas Premium Palma</w:t>
      </w:r>
      <w:bookmarkEnd w:id="7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Barrio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Precio €/m²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Var. Mensual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Var. Anual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Son Vida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8.589 €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-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Portixol-Molinar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7.718 €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+2,1%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+6,8%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Genova-Bonanova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6.324 €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-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Centro histórico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4.500-6.000 €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-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Santa Catalina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5.500-7.000 €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-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-</w:t>
            </w:r>
          </w:p>
        </w:tc>
      </w:tr>
    </w:tbl>
    <w:p>
      <w:pPr>
        <w:spacing w:lineRule="auto"/>
      </w:pPr>
    </w:p>
    <w:p>
      <w:pPr>
        <w:spacing w:lineRule="auto"/>
      </w:pPr>
      <w:r>
        <w:rPr/>
        <w:t xml:space="preserve">Table 4: Zonas residenciales premium Palma capital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Son Vida mantiene su posición como el barrio más caro de Palma, equiparable a zonas premium del suroeste. Portixol-Molinar registra fuerte dinamismo (+6,8% anual), consolidándose como alternativa urbana al suroeste costero[1].</w:t>
      </w:r>
    </w:p>
    <w:p>
      <w:pPr>
        <w:spacing w:line="271" w:before="240" w:lineRule="auto"/>
      </w:pPr>
      <w:bookmarkStart w:id="8" w:name="bm_2_precios_alquiler_por_m²_febr_af3c57"/>
      <w:r>
        <w:rPr>
          <w:rFonts w:eastAsia="Georgia" w:cs="Georgia" w:ascii="Georgia" w:hAnsi="Georgia"/>
          <w:b/>
          <w:sz w:val="42"/>
        </w:rPr>
        <w:t xml:space="preserve">2. PRECIOS ALQUILER POR M² - FEBRERO 2026</w:t>
      </w:r>
      <w:bookmarkEnd w:id="8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Zona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€/m²/mes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Var. Mensual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Var. Anual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Portals Nous-Bendinat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27,3 €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-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Calvià municipio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23,2 €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+1,3%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+6,0%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Santa Ponça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21,6 €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-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Andratx municipio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19,2 €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+1,6%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+5,5%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Baleares media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19,5 €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+1,7%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+7,9%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Palma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18,6 €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+1,4%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+8,9%</w:t>
            </w:r>
          </w:p>
        </w:tc>
      </w:tr>
    </w:tbl>
    <w:p>
      <w:pPr>
        <w:spacing w:lineRule="auto"/>
      </w:pPr>
    </w:p>
    <w:p>
      <w:pPr>
        <w:spacing w:lineRule="auto"/>
      </w:pPr>
      <w:r>
        <w:rPr/>
        <w:t xml:space="preserve">Table 5: Mercado alquiler suroeste y contexto regional</w:t>
      </w:r>
    </w:p>
    <w:p>
      <w:pPr>
        <w:spacing w:after="210" w:lineRule="auto"/>
      </w:pPr>
      <w:r>
        <w:rPr>
          <w:b/>
        </w:rPr>
        <w:t xml:space="preserve">Análisis rentabilidad:</w:t>
      </w:r>
      <w:r>
        <w:rPr>
          <w:rFonts w:eastAsia="Georgia" w:cs="Georgia" w:ascii="Georgia" w:hAnsi="Georgia"/>
        </w:rPr>
        <w:t xml:space="preserve"> Calvià presenta una rentabilidad bruta del </w:t>
      </w:r>
      <w:r>
        <w:rPr>
          <w:b/>
        </w:rPr>
        <w:t xml:space="preserve">3,95%</w:t>
      </w:r>
      <w:r>
        <w:rPr>
          <w:rFonts w:eastAsia="Georgia" w:cs="Georgia" w:ascii="Georgia" w:hAnsi="Georgia"/>
        </w:rPr>
        <w:t xml:space="preserve"> en alquiler, por debajo de la media balear (4,3%). Cálculo: inmueble medio 1.740.000 € genera 68.800 € anuales en alquiler[6].</w:t>
      </w:r>
    </w:p>
    <w:p>
      <w:pPr>
        <w:spacing w:after="210" w:lineRule="auto"/>
      </w:pPr>
      <w:r>
        <w:rPr>
          <w:b/>
        </w:rPr>
        <w:t xml:space="preserve">Conclusión:</w:t>
      </w:r>
      <w:r>
        <w:rPr>
          <w:rFonts w:eastAsia="Georgia" w:cs="Georgia" w:ascii="Georgia" w:hAnsi="Georgia"/>
        </w:rPr>
        <w:t xml:space="preserve"> La inversión en el suroeste se orienta a </w:t>
      </w:r>
      <w:r>
        <w:rPr>
          <w:b/>
        </w:rPr>
        <w:t xml:space="preserve">apreciación de capital</w:t>
      </w:r>
      <w:r>
        <w:rPr>
          <w:rFonts w:eastAsia="Georgia" w:cs="Georgia" w:ascii="Georgia" w:hAnsi="Georgia"/>
        </w:rPr>
        <w:t xml:space="preserve"> (revalorización) más que a yield por alquiler, perfil típico de mercados premium maduros.</w:t>
      </w:r>
    </w:p>
    <w:p>
      <w:pPr>
        <w:spacing w:line="271" w:before="240" w:lineRule="auto"/>
      </w:pPr>
      <w:bookmarkStart w:id="9" w:name="bm_3_precio_inmueble_completo_2026"/>
      <w:r>
        <w:rPr>
          <w:b/>
          <w:sz w:val="42"/>
        </w:rPr>
        <w:t xml:space="preserve">3. PRECIO INMUEBLE COMPLETO - 2026</w:t>
      </w:r>
      <w:bookmarkEnd w:id="9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Municipio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Precio Medio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Ranking España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m² Típicos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€/m² Implícito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Santa Eulària (Ibiza)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2.180.000 €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2º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~250 m²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~8.720 €/m²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Calvià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1.740.000 €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4º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~248 m²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~7.016 €/m²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Llucmajor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850.000 €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-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~205 m²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~4.146 €/m²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Palma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786.000 €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-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~153 m²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~5.137 €/m²</w:t>
            </w:r>
          </w:p>
        </w:tc>
      </w:tr>
    </w:tbl>
    <w:p>
      <w:pPr>
        <w:spacing w:lineRule="auto"/>
      </w:pPr>
    </w:p>
    <w:p>
      <w:pPr>
        <w:spacing w:lineRule="auto"/>
      </w:pPr>
      <w:r>
        <w:rPr/>
        <w:t xml:space="preserve">Table 6: Ranking nacional precio inmueble completo medio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Calvià ocupa el </w:t>
      </w:r>
      <w:r>
        <w:rPr>
          <w:b/>
        </w:rPr>
        <w:t xml:space="preserve">4º puesto nacional</w:t>
      </w:r>
      <w:r>
        <w:rPr/>
        <w:t xml:space="preserve"> con un precio medio de vivienda de </w:t>
      </w:r>
      <w:r>
        <w:rPr>
          <w:b/>
        </w:rPr>
        <w:t xml:space="preserve">1,74 millones €</w:t>
      </w:r>
      <w:r>
        <w:rPr>
          <w:rFonts w:eastAsia="Georgia" w:cs="Georgia" w:ascii="Georgia" w:hAnsi="Georgia"/>
        </w:rPr>
        <w:t xml:space="preserve">, únicamente superado por Santa Eulària (Ibiza, 2º), Benahavís (Málaga, 1º) y Marbella (3º)[7].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La superficie típica de 248 m² evidencia un mercado dominado por </w:t>
      </w:r>
      <w:r>
        <w:rPr>
          <w:b/>
        </w:rPr>
        <w:t xml:space="preserve">viviendas unifamiliares premium</w:t>
      </w:r>
      <w:r>
        <w:rPr>
          <w:rFonts w:eastAsia="Georgia" w:cs="Georgia" w:ascii="Georgia" w:hAnsi="Georgia"/>
        </w:rPr>
        <w:t xml:space="preserve"> (villas y chalets), en contraste con el perfil plurifamiliar urbano de Palma (153 m²).</w:t>
      </w:r>
    </w:p>
    <w:p>
      <w:pPr>
        <w:spacing w:line="271" w:before="240" w:lineRule="auto"/>
      </w:pPr>
      <w:bookmarkStart w:id="10" w:name="bm_4_evolución_histórica_precios"/>
      <w:r>
        <w:rPr>
          <w:rFonts w:eastAsia="Georgia" w:cs="Georgia" w:ascii="Georgia" w:hAnsi="Georgia"/>
          <w:b/>
          <w:sz w:val="42"/>
        </w:rPr>
        <w:t xml:space="preserve">4. EVOLUCIÓN HISTÓRICA PRECIOS</w:t>
      </w:r>
      <w:bookmarkEnd w:id="10"/>
    </w:p>
    <w:p>
      <w:pPr>
        <w:spacing w:line="271" w:before="240" w:lineRule="auto"/>
      </w:pPr>
      <w:bookmarkStart w:id="11" w:name="bm_4_1_portals_nous_últimos_24_me_e0270d"/>
      <w:r>
        <w:rPr>
          <w:rFonts w:eastAsia="Georgia" w:cs="Georgia" w:ascii="Georgia" w:hAnsi="Georgia"/>
          <w:b/>
          <w:sz w:val="33"/>
        </w:rPr>
        <w:t xml:space="preserve">4.1 Portals Nous - Últimos 24 Meses (Fuente: Indomio)</w:t>
      </w:r>
      <w:bookmarkEnd w:id="11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Métrica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Venta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Alquiler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Precio actual (ene 2026)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9.016 €/m²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26,08 €/m²/mes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Máximo 2 años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9.125 €/m² (oct 2025)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26,62 €/m²/mes (oct 2025)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Mínimo 2 años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8.784 €/m² (nov 2025)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23,54 €/m²/mes (abr 2025)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Volatilidad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3,9%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13,1%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rFonts w:eastAsia="Georgia" w:cs="Georgia" w:ascii="Georgia" w:hAnsi="Georgia"/>
        </w:rPr>
        <w:t xml:space="preserve">Table 7: Rango variación precios Portals Nous 2024-2026</w:t>
      </w:r>
    </w:p>
    <w:p>
      <w:pPr>
        <w:spacing w:after="210" w:lineRule="auto"/>
      </w:pPr>
      <w:r>
        <w:rPr>
          <w:b/>
        </w:rPr>
        <w:t xml:space="preserve">Conclusión volatilidad:</w:t>
      </w:r>
      <w:r>
        <w:rPr/>
        <w:t xml:space="preserve"> El mercado de venta presenta </w:t>
      </w:r>
      <w:r>
        <w:rPr>
          <w:b/>
        </w:rPr>
        <w:t xml:space="preserve">alta estabilidad</w:t>
      </w:r>
      <w:r>
        <w:rPr>
          <w:rFonts w:eastAsia="Georgia" w:cs="Georgia" w:ascii="Georgia" w:hAnsi="Georgia"/>
        </w:rPr>
        <w:t xml:space="preserve"> con oscilaciones menores al 4% en dos años, característica de mercados premium maduros. El alquiler muestra mayor volatilidad (13,1%) por </w:t>
      </w:r>
      <w:r>
        <w:rPr>
          <w:b/>
        </w:rPr>
        <w:t xml:space="preserve">estacionalidad turística</w:t>
      </w:r>
      <w:r>
        <w:rPr>
          <w:rFonts w:eastAsia="Georgia" w:cs="Georgia" w:ascii="Georgia" w:hAnsi="Georgia"/>
        </w:rPr>
        <w:t xml:space="preserve"> (máximos temporada alta)[4].</w:t>
      </w:r>
    </w:p>
    <w:p>
      <w:pPr>
        <w:spacing w:line="271" w:before="240" w:lineRule="auto"/>
      </w:pPr>
      <w:bookmarkStart w:id="12" w:name="bm_5_análisis_comparativo_internacional"/>
      <w:r>
        <w:rPr>
          <w:rFonts w:eastAsia="Georgia" w:cs="Georgia" w:ascii="Georgia" w:hAnsi="Georgia"/>
          <w:b/>
          <w:sz w:val="42"/>
        </w:rPr>
        <w:t xml:space="preserve">5. ANÁLISIS COMPARATIVO INTERNACIONAL</w:t>
      </w:r>
      <w:bookmarkEnd w:id="12"/>
    </w:p>
    <w:p>
      <w:pPr>
        <w:spacing w:line="271" w:before="240" w:lineRule="auto"/>
      </w:pPr>
      <w:bookmarkStart w:id="13" w:name="bm_5_1_contexto_mediterráneo"/>
      <w:r>
        <w:rPr>
          <w:rFonts w:eastAsia="Georgia" w:cs="Georgia" w:ascii="Georgia" w:hAnsi="Georgia"/>
          <w:b/>
          <w:sz w:val="33"/>
        </w:rPr>
        <w:t xml:space="preserve">5.1 Contexto Mediterráneo</w:t>
      </w:r>
      <w:bookmarkEnd w:id="13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Destino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País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Precio medio €/m²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vs Calvià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Mónaco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Mónaco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&gt;40.000 €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+471%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Saint-Tropez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Francia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15.000-20.000 €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+139%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Puerto Andratx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España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9.000-12.000 €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+43%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Portals Nous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España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9.016 €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+28%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Calvià media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España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7.014 €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Base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Costa del Sol premium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España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4.500-6.000 €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-17%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Costa Brava premium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España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4.000-5.500 €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-29%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rFonts w:eastAsia="Georgia" w:cs="Georgia" w:ascii="Georgia" w:hAnsi="Georgia"/>
        </w:rPr>
        <w:t xml:space="preserve">Table 8: Benchmarking precios destinos Mediterráneo premium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Calvià se posiciona en el </w:t>
      </w:r>
      <w:r>
        <w:rPr>
          <w:b/>
        </w:rPr>
        <w:t xml:space="preserve">top 5 mediterráneo occidental</w:t>
      </w:r>
      <w:r>
        <w:rPr>
          <w:rFonts w:eastAsia="Georgia" w:cs="Georgia" w:ascii="Georgia" w:hAnsi="Georgia"/>
        </w:rPr>
        <w:t xml:space="preserve">, solo superado por destinos ultra-exclusivos (Mónaco, Saint-Tropez, Positano) y empatado con zonas premium de Ibiza y Marbella.</w:t>
      </w:r>
    </w:p>
    <w:p>
      <w:pPr>
        <w:spacing w:line="271" w:before="240" w:lineRule="auto"/>
      </w:pPr>
      <w:bookmarkStart w:id="14" w:name="bm_6_proyecciones_2026_2028"/>
      <w:r>
        <w:rPr>
          <w:b/>
          <w:sz w:val="42"/>
        </w:rPr>
        <w:t xml:space="preserve">6. PROYECCIONES 2026-2028</w:t>
      </w:r>
      <w:bookmarkEnd w:id="14"/>
    </w:p>
    <w:p>
      <w:pPr>
        <w:spacing w:line="271" w:before="240" w:lineRule="auto"/>
      </w:pPr>
      <w:bookmarkStart w:id="15" w:name="bm_6_1_escenarios_previsionales"/>
      <w:r>
        <w:rPr>
          <w:b/>
          <w:sz w:val="33"/>
        </w:rPr>
        <w:t xml:space="preserve">6.1 Escenarios Previsionales</w:t>
      </w:r>
      <w:bookmarkEnd w:id="15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Escenario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Probabilidad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Calvià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Andratx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Baleares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Base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60%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+3-4% anual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+1-2% anual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+4-6% anual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Optimista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25%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+6-8% anual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+3-4% anual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+7-9% anual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Pesimista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15%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-5 a 0% anual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0-1% anual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-2 a +1% anual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rFonts w:eastAsia="Georgia" w:cs="Georgia" w:ascii="Georgia" w:hAnsi="Georgia"/>
        </w:rPr>
        <w:t xml:space="preserve">Table 9: Proyección crecimiento precios 2026-2028</w:t>
      </w:r>
    </w:p>
    <w:p>
      <w:pPr>
        <w:spacing w:after="210" w:lineRule="auto"/>
      </w:pPr>
      <w:r>
        <w:rPr>
          <w:b/>
        </w:rPr>
        <w:t xml:space="preserve">Escenario base (más probable):</w:t>
      </w:r>
      <w:r>
        <w:rPr>
          <w:rFonts w:eastAsia="Georgia" w:cs="Georgia" w:ascii="Georgia" w:hAnsi="Georgia"/>
        </w:rPr>
        <w:t xml:space="preserve"> Crecimiento moderado sostenido en Calvià (+3-4% anual) y estabilización en Andratx (+1-2%). Los drivers principales son: euríbor 2,1-2,4%, demanda internacional resiliente, y escasez estructural de oferta[8].</w:t>
      </w:r>
    </w:p>
    <w:p>
      <w:pPr>
        <w:spacing w:after="210" w:lineRule="auto"/>
      </w:pPr>
      <w:r>
        <w:rPr>
          <w:b/>
        </w:rPr>
        <w:t xml:space="preserve">Catalizadores optimistas:</w:t>
      </w:r>
      <w:r>
        <w:rPr>
          <w:rFonts w:eastAsia="Georgia" w:cs="Georgia" w:ascii="Georgia" w:hAnsi="Georgia"/>
        </w:rPr>
        <w:t xml:space="preserve"> Relajación regulatoria, recuperación económica Alemania, euríbor &lt;2%.</w:t>
      </w:r>
    </w:p>
    <w:p>
      <w:pPr>
        <w:spacing w:after="210" w:lineRule="auto"/>
      </w:pPr>
      <w:r>
        <w:rPr>
          <w:b/>
        </w:rPr>
        <w:t xml:space="preserve">Riesgos pesimistas:</w:t>
      </w:r>
      <w:r>
        <w:rPr>
          <w:rFonts w:eastAsia="Georgia" w:cs="Georgia" w:ascii="Georgia" w:hAnsi="Georgia"/>
        </w:rPr>
        <w:t xml:space="preserve"> Recesión europea, restricciones adicionales vivienda turística, crisis climática.</w:t>
      </w:r>
    </w:p>
    <w:p>
      <w:pPr>
        <w:spacing w:line="271" w:before="240" w:lineRule="auto"/>
      </w:pPr>
      <w:bookmarkStart w:id="16" w:name="conclusiones"/>
      <w:r>
        <w:rPr>
          <w:b/>
          <w:sz w:val="42"/>
        </w:rPr>
        <w:t xml:space="preserve">CONCLUSIONES</w:t>
      </w:r>
      <w:bookmarkEnd w:id="16"/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Calvià y Andratx consolidan posición como </w:t>
      </w:r>
      <w:r>
        <w:rPr>
          <w:b/>
        </w:rPr>
        <w:t xml:space="preserve">mercados premium mediterráneos</w:t>
      </w:r>
      <w:r>
        <w:rPr/>
        <w:t xml:space="preserve"> con precios +34-46% sobre media balear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Microzonas ultra-lujo</w:t>
      </w:r>
      <w:r>
        <w:rPr>
          <w:rFonts w:eastAsia="Georgia" w:cs="Georgia" w:ascii="Georgia" w:hAnsi="Georgia"/>
        </w:rPr>
        <w:t xml:space="preserve"> (Portals Nous, Puerto Andratx) superan 9.000 €/m² en operaciones regulares</w:t>
      </w:r>
    </w:p>
    <w:p>
      <w:pPr>
        <w:numPr>
          <w:ilvl w:val="0"/>
          <w:numId w:val="1"/>
        </w:numPr>
        <w:spacing w:lineRule="auto"/>
      </w:pPr>
      <w:r>
        <w:rPr/>
        <w:t xml:space="preserve">Mercado venta exhibe </w:t>
      </w:r>
      <w:r>
        <w:rPr>
          <w:b/>
        </w:rPr>
        <w:t xml:space="preserve">alta estabilidad</w:t>
      </w:r>
      <w:r>
        <w:rPr>
          <w:rFonts w:eastAsia="Georgia" w:cs="Georgia" w:ascii="Georgia" w:hAnsi="Georgia"/>
        </w:rPr>
        <w:t xml:space="preserve"> (volatilidad &lt;4% en 2 años), indicador de madurez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Rentabilidad alquiler baja (3,95% Calvià) confirma perfil </w:t>
      </w:r>
      <w:r>
        <w:rPr>
          <w:b/>
        </w:rPr>
        <w:t xml:space="preserve">inversión apreciación capital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Proyección 2026-2028: crecimiento moderado (+3-4% Calvià, +1-2% Andratx) en escenario base</w:t>
      </w:r>
    </w:p>
    <w:p>
      <w:pPr>
        <w:spacing w:line="271" w:before="240" w:lineRule="auto"/>
      </w:pPr>
      <w:bookmarkStart w:id="17" w:name="referencias"/>
      <w:r>
        <w:rPr>
          <w:b/>
          <w:sz w:val="42"/>
        </w:rPr>
        <w:t xml:space="preserve">Referencias</w:t>
      </w:r>
      <w:bookmarkEnd w:id="17"/>
    </w:p>
    <w:p>
      <w:pPr>
        <w:spacing w:after="210" w:lineRule="auto"/>
      </w:pPr>
      <w:r>
        <w:rPr/>
        <w:t xml:space="preserve">[1] Idealista. (2026, febrero). Informe precio vivienda Baleares febrero 2026. </w:t>
      </w:r>
      <w:hyperlink r:id="rId5">
        <w:r>
          <w:rPr>
            <w:color w:val="4472C4"/>
          </w:rPr>
          <w:t xml:space="preserve">https://www.idealista.com/sala-de-prensa/informes-precio-vivienda/</w:t>
        </w:r>
      </w:hyperlink>
    </w:p>
    <w:p>
      <w:pPr>
        <w:spacing w:after="210" w:lineRule="auto"/>
      </w:pPr>
      <w:r>
        <w:rPr>
          <w:rFonts w:eastAsia="Georgia" w:cs="Georgia" w:ascii="Georgia" w:hAnsi="Georgia"/>
        </w:rPr>
        <w:t xml:space="preserve">[2] Fotocasa. (2026, marzo). Evolución precio vivienda Baleares marzo 2026. </w:t>
      </w:r>
      <w:hyperlink r:id="rId6">
        <w:r>
          <w:rPr>
            <w:color w:val="4472C4"/>
          </w:rPr>
          <w:t xml:space="preserve">https://www.fotocasa.es/indice-precios-vivienda</w:t>
        </w:r>
      </w:hyperlink>
    </w:p>
    <w:p>
      <w:pPr>
        <w:spacing w:after="210" w:lineRule="auto"/>
      </w:pPr>
      <w:r>
        <w:rPr/>
        <w:t xml:space="preserve">[3] Consell de Mallorca. (2023). Plan Territorial Insular Mallorca (PTIM) - Norma 6. </w:t>
      </w:r>
      <w:hyperlink r:id="rId7">
        <w:r>
          <w:rPr>
            <w:color w:val="4472C4"/>
          </w:rPr>
          <w:t xml:space="preserve">https://www.conselldemallorca.net/ptim</w:t>
        </w:r>
      </w:hyperlink>
    </w:p>
    <w:p>
      <w:pPr>
        <w:spacing w:after="210" w:lineRule="auto"/>
      </w:pPr>
      <w:r>
        <w:rPr/>
        <w:t xml:space="preserve">[4] Indomio. (2026, enero). Precios por zonas Mallorca enero 2026. </w:t>
      </w:r>
      <w:hyperlink r:id="rId8">
        <w:r>
          <w:rPr>
            <w:color w:val="4472C4"/>
          </w:rPr>
          <w:t xml:space="preserve">https://www.indomio.es/precios-inmobiliarios</w:t>
        </w:r>
      </w:hyperlink>
    </w:p>
    <w:p>
      <w:pPr>
        <w:spacing w:after="210" w:lineRule="auto"/>
      </w:pPr>
      <w:r>
        <w:rPr>
          <w:rFonts w:eastAsia="Georgia" w:cs="Georgia" w:ascii="Georgia" w:hAnsi="Georgia"/>
        </w:rPr>
        <w:t xml:space="preserve">[5] Engel &amp; Völkers Mallorca. (2025, diciembre). Informe mercado inmobiliario premium 2025. </w:t>
      </w:r>
      <w:hyperlink r:id="rId9">
        <w:r>
          <w:rPr>
            <w:color w:val="4472C4"/>
          </w:rPr>
          <w:t xml:space="preserve">https://www.engelvoelkers.com/es/</w:t>
        </w:r>
      </w:hyperlink>
    </w:p>
    <w:p>
      <w:pPr>
        <w:spacing w:after="210" w:lineRule="auto"/>
      </w:pPr>
      <w:r>
        <w:rPr>
          <w:rFonts w:eastAsia="Georgia" w:cs="Georgia" w:ascii="Georgia" w:hAnsi="Georgia"/>
        </w:rPr>
        <w:t xml:space="preserve">[6] Fotocasa Research. (2025, junio). Radiografía del mercado de la vivienda en Baleares 2025. </w:t>
      </w:r>
      <w:hyperlink r:id="rId10">
        <w:r>
          <w:rPr>
            <w:color w:val="4472C4"/>
          </w:rPr>
          <w:t xml:space="preserve">https://research.fotocasa.es/radiografia-baleares-2025/</w:t>
        </w:r>
      </w:hyperlink>
    </w:p>
    <w:p>
      <w:pPr>
        <w:spacing w:after="210" w:lineRule="auto"/>
      </w:pPr>
      <w:r>
        <w:rPr>
          <w:rFonts w:eastAsia="Georgia" w:cs="Georgia" w:ascii="Georgia" w:hAnsi="Georgia"/>
        </w:rPr>
        <w:t xml:space="preserve">[7] Crónica Balear. (2026, febrero 26). Los dos municipios de Baleares donde comprar una casa ya roza los 2 millones. </w:t>
      </w:r>
      <w:hyperlink r:id="rId11">
        <w:r>
          <w:rPr>
            <w:color w:val="4472C4"/>
          </w:rPr>
          <w:t xml:space="preserve">https://www.cronicabalear.es/</w:t>
        </w:r>
      </w:hyperlink>
    </w:p>
    <w:p>
      <w:pPr>
        <w:spacing w:after="210" w:lineRule="auto"/>
      </w:pPr>
      <w:r>
        <w:rPr>
          <w:rFonts w:eastAsia="Georgia" w:cs="Georgia" w:ascii="Georgia" w:hAnsi="Georgia"/>
        </w:rPr>
        <w:t xml:space="preserve">[8] Yes Mallorca Inmuebles. (2026). Qué le espera al mercado inmobiliario de Mallorca en 2026. </w:t>
      </w:r>
      <w:hyperlink r:id="rId12">
        <w:r>
          <w:rPr>
            <w:color w:val="4472C4"/>
          </w:rPr>
          <w:t xml:space="preserve">https://yes-mallorca-inmuebles.es/blog/mercado-inmobiliario-mallorca-2026/</w:t>
        </w:r>
      </w:hyperlink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s-E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s-E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s://www.idealista.com/sala-de-prensa/informes-precio-vivienda/" TargetMode="External"/><Relationship Id="rId6" Type="http://schemas.openxmlformats.org/officeDocument/2006/relationships/hyperlink" Target="https://www.fotocasa.es/indice-precios-vivienda" TargetMode="External"/><Relationship Id="rId7" Type="http://schemas.openxmlformats.org/officeDocument/2006/relationships/hyperlink" Target="https://www.conselldemallorca.net/ptim" TargetMode="External"/><Relationship Id="rId8" Type="http://schemas.openxmlformats.org/officeDocument/2006/relationships/hyperlink" Target="https://www.indomio.es/precios-inmobiliarios" TargetMode="External"/><Relationship Id="rId9" Type="http://schemas.openxmlformats.org/officeDocument/2006/relationships/hyperlink" Target="https://www.engelvoelkers.com/es/" TargetMode="External"/><Relationship Id="rId10" Type="http://schemas.openxmlformats.org/officeDocument/2006/relationships/hyperlink" Target="https://research.fotocasa.es/radiografia-baleares-2025/" TargetMode="External"/><Relationship Id="rId11" Type="http://schemas.openxmlformats.org/officeDocument/2006/relationships/hyperlink" Target="https://www.cronicabalear.es/" TargetMode="External"/><Relationship Id="rId12" Type="http://schemas.openxmlformats.org/officeDocument/2006/relationships/hyperlink" Target="https://yes-mallorca-inmuebles.es/blog/mercado-inmobiliario-mallorca-2026/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2026-03-08T13:46:25.414Z</dcterms:created>
  <dcterms:modified xsi:type="dcterms:W3CDTF">2026-03-08T13:46:25.414Z</dcterms:modified>
</cp:coreProperties>
</file>