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fKicker"/>
        <w:spacing w:before="1440"/>
        <w:jc w:val="center"/>
      </w:pPr>
      <w:r>
        <w:t>REFERENCIA EDITORIAL</w:t>
      </w:r>
    </w:p>
    <w:p>
      <w:pPr>
        <w:pStyle w:val="Title"/>
        <w:spacing w:before="480"/>
        <w:jc w:val="center"/>
      </w:pPr>
      <w:r>
        <w:t>La arquitectura de la atención</w:t>
      </w:r>
    </w:p>
    <w:p>
      <w:pPr>
        <w:pStyle w:val="Subtitle"/>
        <w:jc w:val="center"/>
      </w:pPr>
      <w:r>
        <w:t>Documento de estilo para importación y remapeo en Anclora Talent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567"/>
      </w:tblGrid>
      <w:tr>
        <w:tc>
          <w:tcPr>
            <w:tcW w:type="dxa" w:w="6567"/>
            <w:shd w:fill="E8F0F1"/>
            <w:tcBorders>
              <w:top w:val="single" w:sz="10" w:color="0D3F4A"/>
              <w:left w:val="single" w:sz="10" w:color="0D3F4A"/>
              <w:bottom w:val="single" w:sz="10" w:color="0D3F4A"/>
              <w:right w:val="single" w:sz="10" w:color="0D3F4A"/>
            </w:tcBorders>
          </w:tcPr>
          <w:p>
            <w:pPr>
              <w:jc w:val="center"/>
            </w:pPr>
            <w:r>
              <w:rPr>
                <w:rFonts w:ascii="Noto Sans" w:hAnsi="Noto Sans"/>
                <w:b/>
                <w:color w:val="0D3F4A"/>
                <w:sz w:val="16"/>
              </w:rPr>
              <w:t>ESTA REFERENCIA ES INTENCIONADAMENTE DISTINTA DEL MANUSCRITO BASE</w:t>
            </w:r>
          </w:p>
        </w:tc>
      </w:tr>
    </w:tbl>
    <w:p>
      <w:pPr>
        <w:spacing w:before="4320"/>
        <w:jc w:val="center"/>
      </w:pPr>
      <w:r>
        <w:rPr>
          <w:rFonts w:ascii="Noto Sans" w:hAnsi="Noto Sans"/>
          <w:color w:val="5F6E70"/>
          <w:sz w:val="15"/>
        </w:rPr>
        <w:t>Formato 6 × 9 in · Noto Serif + Noto Sans · teal + coral</w:t>
      </w:r>
    </w:p>
    <w:p>
      <w:r>
        <w:br w:type="page"/>
      </w:r>
    </w:p>
    <w:p>
      <w:pPr>
        <w:pStyle w:val="RefKicker"/>
      </w:pPr>
      <w:r>
        <w:t>SISTEMA</w:t>
      </w:r>
    </w:p>
    <w:p>
      <w:pPr>
        <w:pStyle w:val="Heading1"/>
        <w:pBdr>
          <w:bottom w:val="single" w:sz="14" w:space="6" w:color="CC6530"/>
        </w:pBdr>
      </w:pPr>
      <w:r>
        <w:t>Mapa de estilos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9"/>
        <w:gridCol w:w="2189"/>
        <w:gridCol w:w="2189"/>
      </w:tblGrid>
      <w:tr>
        <w:tc>
          <w:tcPr>
            <w:tcW w:type="dxa" w:w="2189"/>
            <w:shd w:fill="0D3F4A"/>
          </w:tcPr>
          <w:p>
            <w:r>
              <w:rPr>
                <w:rFonts w:ascii="Noto Sans" w:hAnsi="Noto Sans"/>
                <w:b/>
                <w:color w:val="FFFFFF"/>
                <w:sz w:val="15"/>
              </w:rPr>
              <w:t>Elemento</w:t>
            </w:r>
          </w:p>
        </w:tc>
        <w:tc>
          <w:tcPr>
            <w:tcW w:type="dxa" w:w="2189"/>
            <w:shd w:fill="0D3F4A"/>
          </w:tcPr>
          <w:p>
            <w:r>
              <w:rPr>
                <w:rFonts w:ascii="Noto Sans" w:hAnsi="Noto Sans"/>
                <w:b/>
                <w:color w:val="FFFFFF"/>
                <w:sz w:val="15"/>
              </w:rPr>
              <w:t>Referencia</w:t>
            </w:r>
          </w:p>
        </w:tc>
        <w:tc>
          <w:tcPr>
            <w:tcW w:type="dxa" w:w="2189"/>
            <w:shd w:fill="0D3F4A"/>
          </w:tcPr>
          <w:p>
            <w:r>
              <w:rPr>
                <w:rFonts w:ascii="Noto Sans" w:hAnsi="Noto Sans"/>
                <w:b/>
                <w:color w:val="FFFFFF"/>
                <w:sz w:val="15"/>
              </w:rPr>
              <w:t>Diferencia de prueba</w:t>
            </w:r>
          </w:p>
        </w:tc>
      </w:tr>
      <w:tr>
        <w:tc>
          <w:tcPr>
            <w:tcW w:type="dxa" w:w="2189"/>
            <w:shd w:fill="F3F7F7"/>
          </w:tcPr>
          <w:p>
            <w:r>
              <w:rPr>
                <w:rFonts w:ascii="Noto Serif" w:hAnsi="Noto Serif"/>
                <w:color w:val="232F31"/>
                <w:sz w:val="15"/>
              </w:rPr>
              <w:t>Página</w:t>
            </w:r>
          </w:p>
        </w:tc>
        <w:tc>
          <w:tcPr>
            <w:tcW w:type="dxa" w:w="2189"/>
            <w:shd w:fill="F3F7F7"/>
          </w:tcPr>
          <w:p>
            <w:r>
              <w:rPr>
                <w:rFonts w:ascii="Noto Serif" w:hAnsi="Noto Serif"/>
                <w:color w:val="232F31"/>
                <w:sz w:val="15"/>
              </w:rPr>
              <w:t>6 × 9 pulgadas</w:t>
            </w:r>
          </w:p>
        </w:tc>
        <w:tc>
          <w:tcPr>
            <w:tcW w:type="dxa" w:w="2189"/>
            <w:shd w:fill="F3F7F7"/>
          </w:tcPr>
          <w:p>
            <w:r>
              <w:rPr>
                <w:rFonts w:ascii="Noto Serif" w:hAnsi="Noto Serif"/>
                <w:color w:val="232F31"/>
                <w:sz w:val="15"/>
              </w:rPr>
              <w:t>Manuscrito base: A4</w:t>
            </w:r>
          </w:p>
        </w:tc>
      </w:tr>
      <w:tr>
        <w:tc>
          <w:tcPr>
            <w:tcW w:type="dxa" w:w="2189"/>
          </w:tcPr>
          <w:p>
            <w:r>
              <w:rPr>
                <w:rFonts w:ascii="Noto Serif" w:hAnsi="Noto Serif"/>
                <w:color w:val="232F31"/>
                <w:sz w:val="15"/>
              </w:rPr>
              <w:t>Cuerpo</w:t>
            </w:r>
          </w:p>
        </w:tc>
        <w:tc>
          <w:tcPr>
            <w:tcW w:type="dxa" w:w="2189"/>
          </w:tcPr>
          <w:p>
            <w:r>
              <w:rPr>
                <w:rFonts w:ascii="Noto Serif" w:hAnsi="Noto Serif"/>
                <w:color w:val="232F31"/>
                <w:sz w:val="15"/>
              </w:rPr>
              <w:t>Noto Serif 10,3 pt · 1,28</w:t>
            </w:r>
          </w:p>
        </w:tc>
        <w:tc>
          <w:tcPr>
            <w:tcW w:type="dxa" w:w="2189"/>
          </w:tcPr>
          <w:p>
            <w:r>
              <w:rPr>
                <w:rFonts w:ascii="Noto Serif" w:hAnsi="Noto Serif"/>
                <w:color w:val="232F31"/>
                <w:sz w:val="15"/>
              </w:rPr>
              <w:t>Base: Liberation Serif 11,2 pt</w:t>
            </w:r>
          </w:p>
        </w:tc>
      </w:tr>
      <w:tr>
        <w:tc>
          <w:tcPr>
            <w:tcW w:type="dxa" w:w="2189"/>
            <w:shd w:fill="F3F7F7"/>
          </w:tcPr>
          <w:p>
            <w:r>
              <w:rPr>
                <w:rFonts w:ascii="Noto Serif" w:hAnsi="Noto Serif"/>
                <w:color w:val="232F31"/>
                <w:sz w:val="15"/>
              </w:rPr>
              <w:t>Título de capítulo</w:t>
            </w:r>
          </w:p>
        </w:tc>
        <w:tc>
          <w:tcPr>
            <w:tcW w:type="dxa" w:w="2189"/>
            <w:shd w:fill="F3F7F7"/>
          </w:tcPr>
          <w:p>
            <w:r>
              <w:rPr>
                <w:rFonts w:ascii="Noto Serif" w:hAnsi="Noto Serif"/>
                <w:color w:val="232F31"/>
                <w:sz w:val="15"/>
              </w:rPr>
              <w:t>Noto Sans 22 pt · teal</w:t>
            </w:r>
          </w:p>
        </w:tc>
        <w:tc>
          <w:tcPr>
            <w:tcW w:type="dxa" w:w="2189"/>
            <w:shd w:fill="F3F7F7"/>
          </w:tcPr>
          <w:p>
            <w:r>
              <w:rPr>
                <w:rFonts w:ascii="Noto Serif" w:hAnsi="Noto Serif"/>
                <w:color w:val="232F31"/>
                <w:sz w:val="15"/>
              </w:rPr>
              <w:t>Base: Liberation Serif 24 pt · azul oscuro</w:t>
            </w:r>
          </w:p>
        </w:tc>
      </w:tr>
      <w:tr>
        <w:tc>
          <w:tcPr>
            <w:tcW w:type="dxa" w:w="2189"/>
          </w:tcPr>
          <w:p>
            <w:r>
              <w:rPr>
                <w:rFonts w:ascii="Noto Serif" w:hAnsi="Noto Serif"/>
                <w:color w:val="232F31"/>
                <w:sz w:val="15"/>
              </w:rPr>
              <w:t>Subtítulo H2</w:t>
            </w:r>
          </w:p>
        </w:tc>
        <w:tc>
          <w:tcPr>
            <w:tcW w:type="dxa" w:w="2189"/>
          </w:tcPr>
          <w:p>
            <w:r>
              <w:rPr>
                <w:rFonts w:ascii="Noto Serif" w:hAnsi="Noto Serif"/>
                <w:color w:val="232F31"/>
                <w:sz w:val="15"/>
              </w:rPr>
              <w:t>Noto Sans 14 pt · coral</w:t>
            </w:r>
          </w:p>
        </w:tc>
        <w:tc>
          <w:tcPr>
            <w:tcW w:type="dxa" w:w="2189"/>
          </w:tcPr>
          <w:p>
            <w:r>
              <w:rPr>
                <w:rFonts w:ascii="Noto Serif" w:hAnsi="Noto Serif"/>
                <w:color w:val="232F31"/>
                <w:sz w:val="15"/>
              </w:rPr>
              <w:t>Base: serif 15 pt · naranja</w:t>
            </w:r>
          </w:p>
        </w:tc>
      </w:tr>
      <w:tr>
        <w:tc>
          <w:tcPr>
            <w:tcW w:type="dxa" w:w="2189"/>
            <w:shd w:fill="F3F7F7"/>
          </w:tcPr>
          <w:p>
            <w:r>
              <w:rPr>
                <w:rFonts w:ascii="Noto Serif" w:hAnsi="Noto Serif"/>
                <w:color w:val="232F31"/>
                <w:sz w:val="15"/>
              </w:rPr>
              <w:t>Márgenes</w:t>
            </w:r>
          </w:p>
        </w:tc>
        <w:tc>
          <w:tcPr>
            <w:tcW w:type="dxa" w:w="2189"/>
            <w:shd w:fill="F3F7F7"/>
          </w:tcPr>
          <w:p>
            <w:r>
              <w:rPr>
                <w:rFonts w:ascii="Noto Serif" w:hAnsi="Noto Serif"/>
                <w:color w:val="232F31"/>
                <w:sz w:val="15"/>
              </w:rPr>
              <w:t>19,8 / 16,8 mm + gutter</w:t>
            </w:r>
          </w:p>
        </w:tc>
        <w:tc>
          <w:tcPr>
            <w:tcW w:type="dxa" w:w="2189"/>
            <w:shd w:fill="F3F7F7"/>
          </w:tcPr>
          <w:p>
            <w:r>
              <w:rPr>
                <w:rFonts w:ascii="Noto Serif" w:hAnsi="Noto Serif"/>
                <w:color w:val="232F31"/>
                <w:sz w:val="15"/>
              </w:rPr>
              <w:t>Base: 24 mm simétricos</w:t>
            </w:r>
          </w:p>
        </w:tc>
      </w:tr>
      <w:tr>
        <w:tc>
          <w:tcPr>
            <w:tcW w:type="dxa" w:w="2189"/>
          </w:tcPr>
          <w:p>
            <w:r>
              <w:rPr>
                <w:rFonts w:ascii="Noto Serif" w:hAnsi="Noto Serif"/>
                <w:color w:val="232F31"/>
                <w:sz w:val="15"/>
              </w:rPr>
              <w:t>Página</w:t>
            </w:r>
          </w:p>
        </w:tc>
        <w:tc>
          <w:tcPr>
            <w:tcW w:type="dxa" w:w="2189"/>
          </w:tcPr>
          <w:p>
            <w:r>
              <w:rPr>
                <w:rFonts w:ascii="Noto Serif" w:hAnsi="Noto Serif"/>
                <w:color w:val="232F31"/>
                <w:sz w:val="15"/>
              </w:rPr>
              <w:t>centrada · coral</w:t>
            </w:r>
          </w:p>
        </w:tc>
        <w:tc>
          <w:tcPr>
            <w:tcW w:type="dxa" w:w="2189"/>
          </w:tcPr>
          <w:p>
            <w:r>
              <w:rPr>
                <w:rFonts w:ascii="Noto Serif" w:hAnsi="Noto Serif"/>
                <w:color w:val="232F31"/>
                <w:sz w:val="15"/>
              </w:rPr>
              <w:t>Base: centrada · gris</w:t>
            </w:r>
          </w:p>
        </w:tc>
      </w:tr>
      <w:tr>
        <w:tc>
          <w:tcPr>
            <w:tcW w:type="dxa" w:w="2189"/>
            <w:shd w:fill="F3F7F7"/>
          </w:tcPr>
          <w:p>
            <w:r>
              <w:rPr>
                <w:rFonts w:ascii="Noto Serif" w:hAnsi="Noto Serif"/>
                <w:color w:val="232F31"/>
                <w:sz w:val="15"/>
              </w:rPr>
              <w:t>Citas</w:t>
            </w:r>
          </w:p>
        </w:tc>
        <w:tc>
          <w:tcPr>
            <w:tcW w:type="dxa" w:w="2189"/>
            <w:shd w:fill="F3F7F7"/>
          </w:tcPr>
          <w:p>
            <w:r>
              <w:rPr>
                <w:rFonts w:ascii="Noto Serif" w:hAnsi="Noto Serif"/>
                <w:color w:val="232F31"/>
                <w:sz w:val="15"/>
              </w:rPr>
              <w:t>Noto Serif 13 pt · teal · regla coral</w:t>
            </w:r>
          </w:p>
        </w:tc>
        <w:tc>
          <w:tcPr>
            <w:tcW w:type="dxa" w:w="2189"/>
            <w:shd w:fill="F3F7F7"/>
          </w:tcPr>
          <w:p>
            <w:r>
              <w:rPr>
                <w:rFonts w:ascii="Noto Serif" w:hAnsi="Noto Serif"/>
                <w:color w:val="232F31"/>
                <w:sz w:val="15"/>
              </w:rPr>
              <w:t>Base: serif azul + regla oro</w:t>
            </w:r>
          </w:p>
        </w:tc>
      </w:tr>
    </w:tbl>
    <w:p>
      <w:r>
        <w:br w:type="page"/>
      </w:r>
    </w:p>
    <w:p>
      <w:pPr>
        <w:pStyle w:val="RefKicker"/>
      </w:pPr>
      <w:r>
        <w:t>CONTENIDO</w:t>
      </w:r>
    </w:p>
    <w:p>
      <w:pPr>
        <w:pStyle w:val="Heading1"/>
        <w:pBdr>
          <w:bottom w:val="single" w:sz="14" w:space="6" w:color="CC6530"/>
        </w:pBdr>
      </w:pPr>
      <w:r>
        <w:t>Índice</w:t>
      </w:r>
    </w:p>
    <w:p>
      <w:pPr>
        <w:tabs>
          <w:tab w:pos="6120" w:val="right" w:leader="dot"/>
        </w:tabs>
      </w:pPr>
      <w:r>
        <w:rPr>
          <w:rFonts w:ascii="Noto Serif" w:hAnsi="Noto Serif"/>
          <w:sz w:val="18"/>
        </w:rPr>
        <w:t>Introducción</w:t>
      </w:r>
      <w:r>
        <w:rPr>
          <w:rFonts w:ascii="Noto Sans" w:hAnsi="Noto Sans"/>
          <w:color w:val="CC6530"/>
          <w:sz w:val="16"/>
        </w:rPr>
        <w:tab/>
        <w:t>3</w:t>
      </w:r>
    </w:p>
    <w:p>
      <w:pPr>
        <w:tabs>
          <w:tab w:pos="6120" w:val="right" w:leader="dot"/>
        </w:tabs>
      </w:pPr>
      <w:r>
        <w:rPr>
          <w:rFonts w:ascii="Noto Serif" w:hAnsi="Noto Serif"/>
          <w:sz w:val="18"/>
        </w:rPr>
        <w:t>1. El coste invisible del ruido</w:t>
      </w:r>
      <w:r>
        <w:rPr>
          <w:rFonts w:ascii="Noto Sans" w:hAnsi="Noto Sans"/>
          <w:color w:val="CC6530"/>
          <w:sz w:val="16"/>
        </w:rPr>
        <w:tab/>
        <w:t>5</w:t>
      </w:r>
    </w:p>
    <w:p>
      <w:pPr>
        <w:tabs>
          <w:tab w:pos="6120" w:val="right" w:leader="dot"/>
        </w:tabs>
      </w:pPr>
      <w:r>
        <w:rPr>
          <w:rFonts w:ascii="Noto Serif" w:hAnsi="Noto Serif"/>
          <w:sz w:val="18"/>
        </w:rPr>
        <w:t>2. Elegir antes de optimizar</w:t>
      </w:r>
      <w:r>
        <w:rPr>
          <w:rFonts w:ascii="Noto Sans" w:hAnsi="Noto Sans"/>
          <w:color w:val="CC6530"/>
          <w:sz w:val="16"/>
        </w:rPr>
        <w:tab/>
        <w:t>7</w:t>
      </w:r>
    </w:p>
    <w:p>
      <w:pPr>
        <w:tabs>
          <w:tab w:pos="6120" w:val="right" w:leader="dot"/>
        </w:tabs>
      </w:pPr>
      <w:r>
        <w:rPr>
          <w:rFonts w:ascii="Noto Serif" w:hAnsi="Noto Serif"/>
          <w:sz w:val="18"/>
        </w:rPr>
        <w:t>3. Diseñar un sistema de atención</w:t>
      </w:r>
      <w:r>
        <w:rPr>
          <w:rFonts w:ascii="Noto Sans" w:hAnsi="Noto Sans"/>
          <w:color w:val="CC6530"/>
          <w:sz w:val="16"/>
        </w:rPr>
        <w:tab/>
        <w:t>9</w:t>
      </w:r>
    </w:p>
    <w:p>
      <w:pPr>
        <w:tabs>
          <w:tab w:pos="6120" w:val="right" w:leader="dot"/>
        </w:tabs>
      </w:pPr>
      <w:r>
        <w:rPr>
          <w:rFonts w:ascii="Noto Serif" w:hAnsi="Noto Serif"/>
          <w:sz w:val="18"/>
        </w:rPr>
        <w:t>4. Decisiones con criterio</w:t>
      </w:r>
      <w:r>
        <w:rPr>
          <w:rFonts w:ascii="Noto Sans" w:hAnsi="Noto Sans"/>
          <w:color w:val="CC6530"/>
          <w:sz w:val="16"/>
        </w:rPr>
        <w:tab/>
        <w:t>11</w:t>
      </w:r>
    </w:p>
    <w:p>
      <w:pPr>
        <w:tabs>
          <w:tab w:pos="6120" w:val="right" w:leader="dot"/>
        </w:tabs>
      </w:pPr>
      <w:r>
        <w:rPr>
          <w:rFonts w:ascii="Noto Serif" w:hAnsi="Noto Serif"/>
          <w:sz w:val="18"/>
        </w:rPr>
        <w:t>5. Ritmos sostenibles</w:t>
      </w:r>
      <w:r>
        <w:rPr>
          <w:rFonts w:ascii="Noto Sans" w:hAnsi="Noto Sans"/>
          <w:color w:val="CC6530"/>
          <w:sz w:val="16"/>
        </w:rPr>
        <w:tab/>
        <w:t>13</w:t>
      </w:r>
    </w:p>
    <w:p>
      <w:pPr>
        <w:tabs>
          <w:tab w:pos="6120" w:val="right" w:leader="dot"/>
        </w:tabs>
      </w:pPr>
      <w:r>
        <w:rPr>
          <w:rFonts w:ascii="Noto Serif" w:hAnsi="Noto Serif"/>
          <w:sz w:val="18"/>
        </w:rPr>
        <w:t>Conclusión</w:t>
      </w:r>
      <w:r>
        <w:rPr>
          <w:rFonts w:ascii="Noto Sans" w:hAnsi="Noto Sans"/>
          <w:color w:val="CC6530"/>
          <w:sz w:val="16"/>
        </w:rPr>
        <w:tab/>
        <w:t>15</w:t>
      </w:r>
    </w:p>
    <w:p>
      <w:r>
        <w:br w:type="page"/>
      </w:r>
    </w:p>
    <w:p>
      <w:pPr>
        <w:pStyle w:val="RefKicker"/>
      </w:pPr>
      <w:r>
        <w:t>CAPÍTULO UNO</w:t>
      </w:r>
    </w:p>
    <w:p>
      <w:pPr>
        <w:pStyle w:val="Heading1"/>
        <w:pBdr>
          <w:bottom w:val="single" w:sz="14" w:space="6" w:color="CC6530"/>
        </w:pBdr>
      </w:pPr>
      <w:r>
        <w:t>El coste invisible del ruido</w:t>
      </w:r>
    </w:p>
    <w:p>
      <w:pPr>
        <w:pStyle w:val="RefQuote"/>
        <w:pBdr>
          <w:left w:val="single" w:sz="14" w:space="8" w:color="CC6530"/>
        </w:pBdr>
      </w:pPr>
      <w:r>
        <w:rPr>
          <w:rFonts w:ascii="Noto Serif" w:hAnsi="Noto Serif"/>
          <w:i/>
          <w:color w:val="0D3F4A"/>
          <w:sz w:val="26"/>
        </w:rPr>
        <w:t>Una buena referencia editorial no cambia el contenido: cambia la forma en que el contenido entra en escena.</w:t>
      </w:r>
    </w:p>
    <w:p>
      <w:pPr>
        <w:jc w:val="both"/>
      </w:pPr>
      <w:r>
        <w:rPr>
          <w:rFonts w:ascii="Noto Serif" w:hAnsi="Noto Serif"/>
          <w:sz w:val="20"/>
        </w:rPr>
        <w:t>El ruido no siempre se presenta como algo molesto. A menudo llega disfrazado de oportunidad: un mensaje que podría ser importante, una idea que conviene guardar, un artículo que quizá ayude, una reunión a la que sería prudente asistir. Cada elemento aislado parece razonable. El problema aparece cuando todos reclaman acceso inmediato al mismo espacio mental.</w:t>
      </w:r>
    </w:p>
    <w:p>
      <w:pPr>
        <w:jc w:val="both"/>
      </w:pPr>
      <w:r>
        <w:rPr>
          <w:rFonts w:ascii="Noto Serif" w:hAnsi="Noto Serif"/>
          <w:sz w:val="20"/>
        </w:rPr>
        <w:t>La atención fragmentada tiene un coste que rara vez aparece en los calendarios. Cuando cambiamos de tarea no trasladamos únicamente la mirada; trasladamos contexto, intención, memoria de trabajo y expectativa. Ese cambio exige reconstruir el mapa mental de lo que estábamos haciendo. Daniel Kahneman popularizó la idea de que el pensamiento deliberado consume recursos limitados: cuando los repartimos entre demasiados frentes, la calidad de cada decisión cae.</w:t>
      </w:r>
    </w:p>
    <w:p>
      <w:pPr>
        <w:jc w:val="both"/>
      </w:pPr>
      <w:r>
        <w:rPr>
          <w:rFonts w:ascii="Noto Serif" w:hAnsi="Noto Serif"/>
          <w:sz w:val="20"/>
        </w:rPr>
        <w:t xml:space="preserve">Hay una diferencia importante entre </w:t>
      </w:r>
      <w:r>
        <w:rPr>
          <w:rFonts w:ascii="Noto Serif" w:hAnsi="Noto Serif"/>
          <w:b/>
          <w:sz w:val="20"/>
        </w:rPr>
        <w:t>estar disponible</w:t>
      </w:r>
      <w:r>
        <w:rPr>
          <w:rFonts w:ascii="Noto Serif" w:hAnsi="Noto Serif"/>
          <w:sz w:val="20"/>
        </w:rPr>
        <w:t xml:space="preserve"> y </w:t>
      </w:r>
      <w:r>
        <w:rPr>
          <w:rFonts w:ascii="Noto Serif" w:hAnsi="Noto Serif"/>
          <w:b/>
          <w:sz w:val="20"/>
        </w:rPr>
        <w:t>estar accesible en todo momento</w:t>
      </w:r>
      <w:r>
        <w:rPr>
          <w:rFonts w:ascii="Noto Serif" w:hAnsi="Noto Serif"/>
          <w:sz w:val="20"/>
        </w:rPr>
        <w:t>. La disponibilidad es una decisión: sé cuándo responderé y por qué. La accesibilidad permanente es una condición impuesta por el entorno. Una arquitectura de atención comienza convirtiendo accesibilidad en disponibilidad deliberada.</w:t>
      </w:r>
    </w:p>
    <w:p>
      <w:pPr>
        <w:pStyle w:val="Heading2"/>
      </w:pPr>
      <w:r>
        <w:t>La auditoría de entradas</w:t>
      </w:r>
    </w:p>
    <w:p>
      <w:r>
        <w:br w:type="page"/>
      </w:r>
    </w:p>
    <w:p>
      <w:pPr>
        <w:pStyle w:val="RefKicker"/>
      </w:pPr>
      <w:r>
        <w:t>COMPONENTES</w:t>
      </w:r>
    </w:p>
    <w:p>
      <w:pPr>
        <w:pStyle w:val="Heading1"/>
        <w:pBdr>
          <w:bottom w:val="single" w:sz="14" w:space="6" w:color="CC6530"/>
        </w:pBdr>
      </w:pPr>
      <w:r>
        <w:t>Listas, tabla y nota</w:t>
      </w:r>
    </w:p>
    <w:p>
      <w:pPr>
        <w:pStyle w:val="Heading2"/>
      </w:pPr>
      <w:r>
        <w:t>Lista editorial</w:t>
      </w:r>
    </w:p>
    <w:p>
      <w:pPr>
        <w:pStyle w:val="ListBullet"/>
      </w:pPr>
      <w:r>
        <w:rPr>
          <w:rFonts w:ascii="Noto Serif" w:hAnsi="Noto Serif"/>
          <w:sz w:val="20"/>
        </w:rPr>
        <w:t>Captura en un único lugar.</w:t>
      </w:r>
    </w:p>
    <w:p>
      <w:pPr>
        <w:pStyle w:val="ListBullet"/>
      </w:pPr>
      <w:r>
        <w:rPr>
          <w:rFonts w:ascii="Noto Serif" w:hAnsi="Noto Serif"/>
          <w:sz w:val="20"/>
        </w:rPr>
        <w:t>Decide con criterios explícitos.</w:t>
      </w:r>
    </w:p>
    <w:p>
      <w:pPr>
        <w:pStyle w:val="ListBullet"/>
      </w:pPr>
      <w:r>
        <w:rPr>
          <w:rFonts w:ascii="Noto Serif" w:hAnsi="Noto Serif"/>
          <w:sz w:val="20"/>
        </w:rPr>
        <w:t>Protege un bloque de ejecución.</w:t>
      </w:r>
    </w:p>
    <w:p>
      <w:pPr>
        <w:pStyle w:val="ListBullet"/>
      </w:pPr>
      <w:r>
        <w:rPr>
          <w:rFonts w:ascii="Noto Serif" w:hAnsi="Noto Serif"/>
          <w:sz w:val="20"/>
        </w:rPr>
        <w:t>Cierra el día dejando siguiente paso.</w:t>
      </w:r>
    </w:p>
    <w:p>
      <w:pPr>
        <w:pStyle w:val="Heading2"/>
      </w:pPr>
      <w:r>
        <w:t>Tabla de referencia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</w:tblGrid>
      <w:tr>
        <w:tc>
          <w:tcPr>
            <w:tcW w:type="dxa" w:w="3283"/>
            <w:shd w:fill="0D3F4A"/>
          </w:tcPr>
          <w:p>
            <w:r>
              <w:rPr>
                <w:rFonts w:ascii="Noto Sans" w:hAnsi="Noto Sans"/>
                <w:b/>
                <w:color w:val="FFFFFF"/>
                <w:sz w:val="16"/>
              </w:rPr>
              <w:t>Señal</w:t>
            </w:r>
          </w:p>
        </w:tc>
        <w:tc>
          <w:tcPr>
            <w:tcW w:type="dxa" w:w="3283"/>
          </w:tcPr>
          <w:p>
            <w:r>
              <w:rPr>
                <w:rFonts w:ascii="Noto Serif" w:hAnsi="Noto Serif"/>
                <w:color w:val="1E282A"/>
                <w:sz w:val="16"/>
              </w:rPr>
              <w:t>Cambia una decisión relevante</w:t>
            </w:r>
          </w:p>
        </w:tc>
      </w:tr>
      <w:tr>
        <w:tc>
          <w:tcPr>
            <w:tcW w:type="dxa" w:w="3283"/>
            <w:shd w:fill="0D3F4A"/>
          </w:tcPr>
          <w:p>
            <w:r>
              <w:rPr>
                <w:rFonts w:ascii="Noto Sans" w:hAnsi="Noto Sans"/>
                <w:b/>
                <w:color w:val="FFFFFF"/>
                <w:sz w:val="16"/>
              </w:rPr>
              <w:t>Mantenimiento</w:t>
            </w:r>
          </w:p>
        </w:tc>
        <w:tc>
          <w:tcPr>
            <w:tcW w:type="dxa" w:w="3283"/>
          </w:tcPr>
          <w:p>
            <w:r>
              <w:rPr>
                <w:rFonts w:ascii="Noto Serif" w:hAnsi="Noto Serif"/>
                <w:color w:val="1E282A"/>
                <w:sz w:val="16"/>
              </w:rPr>
              <w:t>Sostiene el sistema</w:t>
            </w:r>
          </w:p>
        </w:tc>
      </w:tr>
      <w:tr>
        <w:tc>
          <w:tcPr>
            <w:tcW w:type="dxa" w:w="3283"/>
            <w:shd w:fill="0D3F4A"/>
          </w:tcPr>
          <w:p>
            <w:r>
              <w:rPr>
                <w:rFonts w:ascii="Noto Sans" w:hAnsi="Noto Sans"/>
                <w:b/>
                <w:color w:val="FFFFFF"/>
                <w:sz w:val="16"/>
              </w:rPr>
              <w:t>Ruido</w:t>
            </w:r>
          </w:p>
        </w:tc>
        <w:tc>
          <w:tcPr>
            <w:tcW w:type="dxa" w:w="3283"/>
          </w:tcPr>
          <w:p>
            <w:r>
              <w:rPr>
                <w:rFonts w:ascii="Noto Serif" w:hAnsi="Noto Serif"/>
                <w:color w:val="1E282A"/>
                <w:sz w:val="16"/>
              </w:rPr>
              <w:t>Consume atención sin cambiar resultado</w:t>
            </w:r>
          </w:p>
        </w:tc>
      </w:tr>
      <w:tr>
        <w:tc>
          <w:tcPr>
            <w:tcW w:type="dxa" w:w="3283"/>
            <w:shd w:fill="0D3F4A"/>
          </w:tcPr>
          <w:p>
            <w:r>
              <w:rPr>
                <w:rFonts w:ascii="Noto Sans" w:hAnsi="Noto Sans"/>
                <w:b/>
                <w:color w:val="FFFFFF"/>
                <w:sz w:val="16"/>
              </w:rPr>
              <w:t>Revisión</w:t>
            </w:r>
          </w:p>
        </w:tc>
        <w:tc>
          <w:tcPr>
            <w:tcW w:type="dxa" w:w="3283"/>
          </w:tcPr>
          <w:p>
            <w:r>
              <w:rPr>
                <w:rFonts w:ascii="Noto Serif" w:hAnsi="Noto Serif"/>
                <w:color w:val="1E282A"/>
                <w:sz w:val="16"/>
              </w:rPr>
              <w:t>Convierte evidencia en decisión</w:t>
            </w:r>
          </w:p>
        </w:tc>
      </w:tr>
    </w:tbl>
    <w:p>
      <w:r>
        <w:rPr>
          <w:rFonts w:ascii="Noto Serif" w:hAnsi="Noto Serif"/>
          <w:sz w:val="20"/>
        </w:rPr>
        <w:t>Ejemplo de nota al pie de referencia</w:t>
      </w:r>
      <w:r>
        <w:footnoteReference w:id="1"/>
      </w:r>
    </w:p>
    <w:p>
      <w:r>
        <w:br w:type="page"/>
      </w:r>
    </w:p>
    <w:p>
      <w:pPr>
        <w:pStyle w:val="RefKicker"/>
      </w:pPr>
      <w:r>
        <w:t>APLICACIÓN</w:t>
      </w:r>
    </w:p>
    <w:p>
      <w:pPr>
        <w:pStyle w:val="Heading1"/>
        <w:pBdr>
          <w:bottom w:val="single" w:sz="14" w:space="6" w:color="CC6530"/>
        </w:pBdr>
      </w:pPr>
      <w:r>
        <w:t>Reglas para Talent</w:t>
      </w:r>
    </w:p>
    <w:p>
      <w:pPr>
        <w:pStyle w:val="ListBullet"/>
      </w:pPr>
      <w:r>
        <w:rPr>
          <w:rFonts w:ascii="Noto Serif" w:hAnsi="Noto Serif"/>
          <w:b/>
          <w:sz w:val="20"/>
        </w:rPr>
        <w:t>Contenido:</w:t>
      </w:r>
      <w:r>
        <w:rPr>
          <w:rFonts w:ascii="Noto Serif" w:hAnsi="Noto Serif"/>
          <w:sz w:val="20"/>
        </w:rPr>
        <w:t xml:space="preserve"> debe permanecer idéntico al manuscrito original.</w:t>
      </w:r>
    </w:p>
    <w:p>
      <w:pPr>
        <w:pStyle w:val="ListBullet"/>
      </w:pPr>
      <w:r>
        <w:rPr>
          <w:rFonts w:ascii="Noto Serif" w:hAnsi="Noto Serif"/>
          <w:b/>
          <w:sz w:val="20"/>
        </w:rPr>
        <w:t>Página:</w:t>
      </w:r>
      <w:r>
        <w:rPr>
          <w:rFonts w:ascii="Noto Serif" w:hAnsi="Noto Serif"/>
          <w:sz w:val="20"/>
        </w:rPr>
        <w:t xml:space="preserve"> aplicar 6 × 9 pulgadas, márgenes asimétricos y gutter de referencia.</w:t>
      </w:r>
    </w:p>
    <w:p>
      <w:pPr>
        <w:pStyle w:val="ListBullet"/>
      </w:pPr>
      <w:r>
        <w:rPr>
          <w:rFonts w:ascii="Noto Serif" w:hAnsi="Noto Serif"/>
          <w:b/>
          <w:sz w:val="20"/>
        </w:rPr>
        <w:t>Tipografía:</w:t>
      </w:r>
      <w:r>
        <w:rPr>
          <w:rFonts w:ascii="Noto Serif" w:hAnsi="Noto Serif"/>
          <w:sz w:val="20"/>
        </w:rPr>
        <w:t xml:space="preserve"> cuerpo Noto Serif; títulos y elementos funcionales Noto Sans.</w:t>
      </w:r>
    </w:p>
    <w:p>
      <w:pPr>
        <w:pStyle w:val="ListBullet"/>
      </w:pPr>
      <w:r>
        <w:rPr>
          <w:rFonts w:ascii="Noto Serif" w:hAnsi="Noto Serif"/>
          <w:b/>
          <w:sz w:val="20"/>
        </w:rPr>
        <w:t>Color:</w:t>
      </w:r>
      <w:r>
        <w:rPr>
          <w:rFonts w:ascii="Noto Serif" w:hAnsi="Noto Serif"/>
          <w:sz w:val="20"/>
        </w:rPr>
        <w:t xml:space="preserve"> teal para jerarquía principal y coral para acentos, reglas y numeración.</w:t>
      </w:r>
    </w:p>
    <w:p>
      <w:pPr>
        <w:pStyle w:val="ListBullet"/>
      </w:pPr>
      <w:r>
        <w:rPr>
          <w:rFonts w:ascii="Noto Serif" w:hAnsi="Noto Serif"/>
          <w:b/>
          <w:sz w:val="20"/>
        </w:rPr>
        <w:t>Índice:</w:t>
      </w:r>
      <w:r>
        <w:rPr>
          <w:rFonts w:ascii="Noto Serif" w:hAnsi="Noto Serif"/>
          <w:sz w:val="20"/>
        </w:rPr>
        <w:t xml:space="preserve"> conservar contenido del manuscrito, aplicar líder de puntos y paginación de referencia.</w:t>
      </w:r>
    </w:p>
    <w:p>
      <w:pPr>
        <w:pStyle w:val="ListBullet"/>
      </w:pPr>
      <w:r>
        <w:rPr>
          <w:rFonts w:ascii="Noto Serif" w:hAnsi="Noto Serif"/>
          <w:b/>
          <w:sz w:val="20"/>
        </w:rPr>
        <w:t>Notas:</w:t>
      </w:r>
      <w:r>
        <w:rPr>
          <w:rFonts w:ascii="Noto Serif" w:hAnsi="Noto Serif"/>
          <w:sz w:val="20"/>
        </w:rPr>
        <w:t xml:space="preserve"> conservar el texto y numeración; aplicar cuerpo menor y espaciado compacto.</w:t>
      </w:r>
    </w:p>
    <w:p>
      <w:pPr>
        <w:pStyle w:val="ListBullet"/>
      </w:pPr>
      <w:r>
        <w:rPr>
          <w:rFonts w:ascii="Noto Serif" w:hAnsi="Noto Serif"/>
          <w:b/>
          <w:sz w:val="20"/>
        </w:rPr>
        <w:t>Overrides locales:</w:t>
      </w:r>
      <w:r>
        <w:rPr>
          <w:rFonts w:ascii="Noto Serif" w:hAnsi="Noto Serif"/>
          <w:sz w:val="20"/>
        </w:rPr>
        <w:t xml:space="preserve"> no destruir cursivas, negritas o formato local deliberado.</w:t>
      </w:r>
    </w:p>
    <w:p>
      <w:pPr>
        <w:pStyle w:val="Heading2"/>
      </w:pPr>
      <w:r>
        <w:t>Resultado esperado</w:t>
      </w:r>
    </w:p>
    <w:p>
      <w:r>
        <w:rPr>
          <w:rFonts w:ascii="Noto Serif" w:hAnsi="Noto Serif"/>
          <w:b/>
          <w:sz w:val="20"/>
        </w:rPr>
        <w:t>Mismo manuscrito, nueva composición.</w:t>
      </w:r>
      <w:r>
        <w:rPr>
          <w:rFonts w:ascii="Noto Serif" w:hAnsi="Noto Serif"/>
          <w:sz w:val="20"/>
        </w:rPr>
        <w:t xml:space="preserve"> Si se importan juntos el manuscrito base y esta referencia, el contenido debe conservarse mientras la maquetación adopta esta jerarquía.</w:t>
      </w:r>
    </w:p>
    <w:sectPr w:rsidR="00FC693F" w:rsidRPr="0006063C" w:rsidSect="00034616">
      <w:headerReference w:type="default" r:id="rId9"/>
      <w:footerReference w:type="default" r:id="rId10"/>
      <w:pgSz w:w="8640" w:h="12960"/>
      <w:pgMar w:top="1037" w:right="950" w:bottom="1037" w:left="1123" w:header="720" w:footer="720" w:gutter="115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" w:hAnsi="Noto Sans"/>
        <w:color w:val="CC6530"/>
        <w:sz w:val="14"/>
      </w:rPr>
      <w:t xml:space="preserve">·  </w:t>
    </w:r>
    <w:r>
      <w:fldChar w:fldCharType="begin"/>
      <w:instrText xml:space="preserve"> PAGE </w:instrText>
      <w:fldChar w:fldCharType="end"/>
    </w:r>
    <w:r>
      <w:rPr>
        <w:rFonts w:ascii="Noto Sans" w:hAnsi="Noto Sans"/>
        <w:color w:val="CC6530"/>
        <w:sz w:val="14"/>
      </w:rPr>
      <w:t xml:space="preserve">  ·</w:t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r>
        <w:footnoteRef/>
      </w:r>
      <w:r>
        <w:t> Ejemplo de nota al pie: cuerpo menor, numeración automática y separación compacta respecto al texto principal.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" w:hAnsi="Noto Sans"/>
        <w:b/>
        <w:color w:val="6E7D80"/>
        <w:sz w:val="13"/>
      </w:rPr>
      <w:t>ANCLORA TALENT · REFERENCIA EDITORIAL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 w:after="140"/>
    </w:pPr>
    <w:rPr>
      <w:rFonts w:ascii="Noto Serif" w:hAnsi="Noto Seri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" w:hAnsi="Noto Sans"/>
      <w:b/>
      <w:bCs/>
      <w:color w:val="0D3F4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/>
      <w:b/>
      <w:bCs/>
      <w:color w:val="CC653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" w:hAnsi="Noto Sans"/>
      <w:b/>
      <w:bCs/>
      <w:color w:val="0D3F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erif Display" w:hAnsi="Noto Serif Display"/>
      <w:b/>
      <w:color w:val="0D3F4A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erif" w:hAnsi="Noto Serif"/>
      <w:b w:val="0"/>
      <w:i/>
      <w:iCs/>
      <w:color w:val="48585C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fKicker">
    <w:name w:val="Ref Kicker"/>
    <w:rPr>
      <w:rFonts w:ascii="Noto Sans" w:hAnsi="Noto Sans"/>
      <w:b/>
      <w:color w:val="CC6530"/>
      <w:sz w:val="16"/>
    </w:rPr>
  </w:style>
  <w:style w:type="paragraph" w:customStyle="1" w:styleId="RefQuote">
    <w:name w:val="Ref Quote"/>
    <w:pPr>
      <w:ind w:left="340"/>
    </w:pPr>
    <w:rPr>
      <w:rFonts w:ascii="Noto Serif" w:hAnsi="Noto Serif"/>
      <w:i/>
      <w:color w:val="0D3F4A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