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ditorialKicker"/>
        <w:spacing w:before="1984"/>
        <w:jc w:val="center"/>
      </w:pPr>
      <w:r>
        <w:t>DOCUMENTO DE PRUEBA · ANCLORA TALENT</w:t>
      </w:r>
    </w:p>
    <w:p>
      <w:pPr>
        <w:spacing w:before="560" w:after="240"/>
        <w:jc w:val="center"/>
      </w:pPr>
      <w:r>
        <w:rPr>
          <w:rFonts w:ascii="Liberation Serif" w:hAnsi="Liberation Serif"/>
          <w:b/>
          <w:color w:val="1C2738"/>
          <w:sz w:val="68"/>
        </w:rPr>
        <w:t>La arquitectura de la atención</w:t>
      </w:r>
    </w:p>
    <w:p>
      <w:pPr>
        <w:spacing w:after="720"/>
        <w:jc w:val="center"/>
      </w:pPr>
      <w:r>
        <w:rPr>
          <w:rFonts w:ascii="Liberation Serif" w:hAnsi="Liberation Serif"/>
          <w:i/>
          <w:color w:val="5C5C5C"/>
          <w:sz w:val="30"/>
        </w:rPr>
        <w:t>Un método práctico para decidir mejor, trabajar con profundidad y recuperar espacio mental</w:t>
      </w:r>
    </w:p>
    <w:p>
      <w:pPr>
        <w:jc w:val="center"/>
      </w:pPr>
      <w:r>
        <w:rPr>
          <w:rFonts w:ascii="Liberation Serif" w:hAnsi="Liberation Serif"/>
          <w:b/>
          <w:color w:val="2D2D2D"/>
          <w:sz w:val="24"/>
        </w:rPr>
        <w:t>Documento de prueba editorial para Anclora Talent</w:t>
      </w:r>
    </w:p>
    <w:p>
      <w:pPr>
        <w:spacing w:before="2835"/>
        <w:jc w:val="center"/>
      </w:pPr>
      <w:r>
        <w:rPr>
          <w:rFonts w:ascii="Liberation Sans" w:hAnsi="Liberation Sans"/>
          <w:color w:val="787878"/>
          <w:sz w:val="17"/>
        </w:rPr>
        <w:t>Versión de prueba · Septiembre 2026</w:t>
      </w:r>
    </w:p>
    <w:p>
      <w:pPr>
        <w:jc w:val="center"/>
      </w:pPr>
      <w:r>
        <w:rPr>
          <w:rFonts w:ascii="Liberation Sans" w:hAnsi="Liberation Sans"/>
          <w:color w:val="787878"/>
          <w:sz w:val="16"/>
        </w:rPr>
        <w:t>Manuscrito base: Liberation Serif · A4 · márgenes 24 mm</w:t>
      </w:r>
    </w:p>
    <w:p>
      <w:r>
        <w:br w:type="page"/>
      </w:r>
    </w:p>
    <w:p>
      <w:pPr>
        <w:pStyle w:val="EditorialKicker"/>
      </w:pPr>
      <w:r>
        <w:t>CONTENIDO</w:t>
      </w:r>
    </w:p>
    <w:p>
      <w:pPr>
        <w:pStyle w:val="Heading1"/>
        <w:pBdr>
          <w:bottom w:val="single" w:sz="18" w:space="6" w:color="C46A2C"/>
        </w:pBdr>
      </w:pPr>
      <w:r>
        <w:t>Índice</w:t>
      </w:r>
    </w:p>
    <w:p>
      <w:pPr>
        <w:pStyle w:val="TOCEntry"/>
      </w:pPr>
      <w:r>
        <w:t>Introducción</w:t>
      </w:r>
      <w:r>
        <w:tab/>
      </w:r>
      <w:r>
        <w:t>3</w:t>
      </w:r>
    </w:p>
    <w:p>
      <w:pPr>
        <w:pStyle w:val="TOCEntry"/>
      </w:pPr>
      <w:r>
        <w:t>Capítulo 1. El coste invisible del ruido</w:t>
      </w:r>
      <w:r>
        <w:tab/>
      </w:r>
      <w:r>
        <w:t>4</w:t>
      </w:r>
    </w:p>
    <w:p>
      <w:pPr>
        <w:pStyle w:val="TOCEntry"/>
      </w:pPr>
      <w:r>
        <w:t>Capítulo 2. Elegir antes de optimizar</w:t>
      </w:r>
      <w:r>
        <w:tab/>
      </w:r>
      <w:r>
        <w:t>6</w:t>
      </w:r>
    </w:p>
    <w:p>
      <w:pPr>
        <w:pStyle w:val="TOCEntry"/>
      </w:pPr>
      <w:r>
        <w:t>Capítulo 3. Diseñar un sistema de atención</w:t>
      </w:r>
      <w:r>
        <w:tab/>
      </w:r>
      <w:r>
        <w:t>8</w:t>
      </w:r>
    </w:p>
    <w:p>
      <w:pPr>
        <w:pStyle w:val="TOCEntry"/>
      </w:pPr>
      <w:r>
        <w:t>Capítulo 4. Decisiones con criterio</w:t>
      </w:r>
      <w:r>
        <w:tab/>
      </w:r>
      <w:r>
        <w:t>10</w:t>
      </w:r>
    </w:p>
    <w:p>
      <w:pPr>
        <w:pStyle w:val="TOCEntry"/>
      </w:pPr>
      <w:r>
        <w:t>Capítulo 5. Ritmos sostenibles</w:t>
      </w:r>
      <w:r>
        <w:tab/>
      </w:r>
      <w:r>
        <w:t>12</w:t>
      </w:r>
    </w:p>
    <w:p>
      <w:pPr>
        <w:pStyle w:val="TOCEntry"/>
      </w:pPr>
      <w:r>
        <w:t>Conclusión</w:t>
      </w:r>
      <w:r>
        <w:tab/>
      </w:r>
      <w:r>
        <w:t>14</w:t>
      </w:r>
    </w:p>
    <w:p>
      <w:r>
        <w:br w:type="page"/>
      </w:r>
    </w:p>
    <w:p>
      <w:pPr>
        <w:pStyle w:val="EditorialKicker"/>
      </w:pPr>
      <w:r>
        <w:t>INTRODUCCIÓN</w:t>
      </w:r>
    </w:p>
    <w:p>
      <w:pPr>
        <w:pStyle w:val="Heading1"/>
        <w:pBdr>
          <w:bottom w:val="single" w:sz="18" w:space="6" w:color="C46A2C"/>
        </w:pBdr>
      </w:pPr>
      <w:r>
        <w:t>Atención antes que velocidad</w:t>
      </w:r>
    </w:p>
    <w:p>
      <w:pPr>
        <w:jc w:val="both"/>
      </w:pPr>
      <w:r>
        <w:rPr>
          <w:rFonts w:ascii="Liberation Serif" w:hAnsi="Liberation Serif"/>
          <w:sz w:val="22"/>
        </w:rPr>
        <w:t>Vivimos rodeados de herramientas diseñadas para ahorrar tiempo y, sin embargo, la sensación dominante es que el tiempo nunca alcanza. El problema no suele ser la cantidad de tareas, sino la fragmentación con la que las abordamos. Abrimos una conversación, saltamos a una notificación, respondemos un correo, regresamos a la tarea original y, antes de recuperar el hilo, otra interrupción reclama prioridad. La jornada avanza, pero la experiencia subjetiva es la de haber estado ocupados sin haber estado realmente presentes.</w:t>
      </w:r>
    </w:p>
    <w:p>
      <w:pPr>
        <w:jc w:val="both"/>
      </w:pPr>
      <w:r>
        <w:rPr>
          <w:rFonts w:ascii="Liberation Serif" w:hAnsi="Liberation Serif"/>
          <w:sz w:val="22"/>
        </w:rPr>
        <w:t>La atención es el recurso que convierte el tiempo en experiencia y el conocimiento en criterio. Herbert Simon advirtió hace décadas que una abundancia de información consume precisamente aquello que la información necesita para ser procesada: atención. Hoy esa intuición resulta casi literal. La dificultad ya no consiste en encontrar datos, sino en decidir qué merece entrar en nuestro campo mental y durante cuánto tiempo.</w:t>
      </w:r>
      <w:r>
        <w:footnoteReference w:id="1"/>
      </w:r>
    </w:p>
    <w:p>
      <w:pPr>
        <w:jc w:val="both"/>
      </w:pPr>
      <w:r>
        <w:rPr>
          <w:rFonts w:ascii="Liberation Serif" w:hAnsi="Liberation Serif"/>
          <w:sz w:val="22"/>
        </w:rPr>
        <w:t>Este manuscrito propone una arquitectura sencilla: antes de organizar tareas, organizamos criterios; antes de añadir herramientas, reducimos entradas; antes de optimizar velocidad, protegemos profundidad. No se trata de vivir desconectados ni de idealizar una vida sin pantallas. Se trata de recuperar la capacidad de elegir el foco, mantenerlo el tiempo suficiente y cerrarlo con una decisión clara.</w:t>
      </w:r>
    </w:p>
    <w:p>
      <w:pPr>
        <w:jc w:val="both"/>
      </w:pPr>
      <w:r>
        <w:rPr>
          <w:rFonts w:ascii="Liberation Serif" w:hAnsi="Liberation Serif"/>
          <w:sz w:val="22"/>
        </w:rPr>
        <w:t>El método se apoya en cinco movimientos: distinguir señal de ruido, decidir antes de optimizar, construir un sistema de atención, convertir criterios en decisiones y diseñar ritmos sostenibles. Cada capítulo incluye una idea central, una práctica y una pequeña prueba de realidad. El objetivo no es crear una rutina perfecta, sino una estructura que siga funcionando en semanas imperfectas.</w:t>
      </w:r>
    </w:p>
    <w:p>
      <w:pPr>
        <w:jc w:val="both"/>
      </w:pPr>
      <w:r>
        <w:rPr>
          <w:rFonts w:ascii="Liberation Serif" w:hAnsi="Liberation Serif"/>
          <w:sz w:val="22"/>
        </w:rPr>
        <w:t xml:space="preserve">La pregunta que atraviesa todo el texto es muy concreta: </w:t>
      </w:r>
      <w:r>
        <w:rPr>
          <w:rFonts w:ascii="Liberation Serif" w:hAnsi="Liberation Serif"/>
          <w:b/>
          <w:sz w:val="22"/>
        </w:rPr>
        <w:t>¿qué tendría que ser verdad para que al final del día supieras que tu atención estuvo bien invertida?</w:t>
      </w:r>
      <w:r>
        <w:rPr>
          <w:rFonts w:ascii="Liberation Serif" w:hAnsi="Liberation Serif"/>
          <w:sz w:val="22"/>
        </w:rPr>
        <w:t xml:space="preserve"> Si puedes responderla, la agenda deja de ser una lista de urgencias y empieza a parecerse a una estrategia.</w:t>
      </w:r>
    </w:p>
    <w:p>
      <w:r>
        <w:br w:type="page"/>
      </w:r>
    </w:p>
    <w:p>
      <w:pPr>
        <w:pStyle w:val="EditorialKicker"/>
      </w:pPr>
      <w:r>
        <w:t>CAPÍTULO 1</w:t>
      </w:r>
    </w:p>
    <w:p>
      <w:pPr>
        <w:pStyle w:val="Heading1"/>
        <w:pBdr>
          <w:bottom w:val="single" w:sz="18" w:space="6" w:color="C46A2C"/>
        </w:pBdr>
      </w:pPr>
      <w:r>
        <w:t>El coste invisible del ruido</w:t>
      </w:r>
    </w:p>
    <w:p>
      <w:pPr>
        <w:jc w:val="both"/>
      </w:pPr>
      <w:r>
        <w:rPr>
          <w:rFonts w:ascii="Liberation Serif" w:hAnsi="Liberation Serif"/>
          <w:sz w:val="22"/>
        </w:rPr>
        <w:t>El ruido no siempre se presenta como algo molesto. A menudo llega disfrazado de oportunidad: un mensaje que podría ser importante, una idea que conviene guardar, un artículo que quizá ayude, una reunión a la que sería prudente asistir. Cada elemento aislado parece razonable. El problema aparece cuando todos reclaman acceso inmediato al mismo espacio mental.</w:t>
      </w:r>
    </w:p>
    <w:p>
      <w:pPr>
        <w:jc w:val="both"/>
      </w:pPr>
      <w:r>
        <w:rPr>
          <w:rFonts w:ascii="Liberation Serif" w:hAnsi="Liberation Serif"/>
          <w:sz w:val="22"/>
        </w:rPr>
        <w:t>La atención fragmentada tiene un coste que rara vez aparece en los calendarios. Cuando cambiamos de tarea no trasladamos únicamente la mirada; trasladamos contexto, intención, memoria de trabajo y expectativa. Ese cambio exige reconstruir el mapa mental de lo que estábamos haciendo. Daniel Kahneman popularizó la idea de que el pensamiento deliberado consume recursos limitados: cuando los repartimos entre demasiados frentes, la calidad de cada decisión cae.</w:t>
      </w:r>
      <w:r>
        <w:footnoteReference w:id="2"/>
      </w:r>
    </w:p>
    <w:p>
      <w:pPr>
        <w:jc w:val="both"/>
      </w:pPr>
      <w:r>
        <w:rPr>
          <w:rFonts w:ascii="Liberation Serif" w:hAnsi="Liberation Serif"/>
          <w:sz w:val="22"/>
        </w:rPr>
        <w:t xml:space="preserve">Hay una diferencia importante entre </w:t>
      </w:r>
      <w:r>
        <w:rPr>
          <w:rFonts w:ascii="Liberation Serif" w:hAnsi="Liberation Serif"/>
          <w:b/>
          <w:sz w:val="22"/>
        </w:rPr>
        <w:t>estar disponible</w:t>
      </w:r>
      <w:r>
        <w:rPr>
          <w:rFonts w:ascii="Liberation Serif" w:hAnsi="Liberation Serif"/>
          <w:sz w:val="22"/>
        </w:rPr>
        <w:t xml:space="preserve"> y </w:t>
      </w:r>
      <w:r>
        <w:rPr>
          <w:rFonts w:ascii="Liberation Serif" w:hAnsi="Liberation Serif"/>
          <w:b/>
          <w:sz w:val="22"/>
        </w:rPr>
        <w:t>estar accesible en todo momento</w:t>
      </w:r>
      <w:r>
        <w:rPr>
          <w:rFonts w:ascii="Liberation Serif" w:hAnsi="Liberation Serif"/>
          <w:sz w:val="22"/>
        </w:rPr>
        <w:t>. La disponibilidad es una decisión: sé cuándo responderé y por qué. La accesibilidad permanente es una condición impuesta por el entorno. Una arquitectura de atención comienza convirtiendo accesibilidad en disponibilidad deliberada.</w:t>
      </w:r>
    </w:p>
    <w:p>
      <w:pPr>
        <w:pStyle w:val="Heading2"/>
      </w:pPr>
      <w:r>
        <w:t>La auditoría de entradas</w:t>
      </w:r>
    </w:p>
    <w:p>
      <w:pPr>
        <w:jc w:val="both"/>
      </w:pPr>
      <w:r>
        <w:rPr>
          <w:rFonts w:ascii="Liberation Serif" w:hAnsi="Liberation Serif"/>
          <w:sz w:val="22"/>
        </w:rPr>
        <w:t>Durante tres días, registra cada interrupción externa e interna. No hace falta medir segundos. Basta con anotar qué apareció, de dónde vino y qué estabas haciendo. Al final, clasifica cada entrada como señal, mantenimiento o ruido. Señal es aquello que cambia una decisión relevante. Mantenimiento es lo necesario para que el sistema siga funcionando. Ruido es lo que consume atención sin modificar una decisión, una relación o un resultado importante.</w:t>
      </w:r>
    </w:p>
    <w:p>
      <w:pPr>
        <w:jc w:val="both"/>
      </w:pPr>
      <w:r>
        <w:rPr>
          <w:rFonts w:ascii="Liberation Serif" w:hAnsi="Liberation Serif"/>
          <w:sz w:val="22"/>
        </w:rPr>
        <w:t>La utilidad de esta clasificación no está en lograr porcentajes perfectos, sino en descubrir patrones. Quizá el correo sea señal por la mañana y ruido por la tarde. Tal vez una aplicación que parece imprescindible sólo aporte mantenimiento. O quizá la mayor fuente de interrupción no sea el teléfono, sino el hábito de comprobar cosas antes de haber definido qué buscabas.</w:t>
      </w:r>
    </w:p>
    <w:p>
      <w:pPr>
        <w:pStyle w:val="BlockQuote"/>
        <w:pBdr>
          <w:left w:val="single" w:sz="18" w:space="8" w:color="B6852E"/>
        </w:pBdr>
      </w:pPr>
      <w:r>
        <w:rPr>
          <w:rFonts w:ascii="Liberation Serif" w:hAnsi="Liberation Serif"/>
          <w:b/>
          <w:sz w:val="25"/>
        </w:rPr>
        <w:t>Principio de trabajo:</w:t>
      </w:r>
      <w:r>
        <w:rPr>
          <w:rFonts w:ascii="Liberation Serif" w:hAnsi="Liberation Serif"/>
          <w:sz w:val="25"/>
        </w:rPr>
        <w:t xml:space="preserve"> si una entrada no puede explicar qué decisión modifica, no merece prioridad automática.</w:t>
      </w:r>
    </w:p>
    <w:p>
      <w:pPr>
        <w:jc w:val="both"/>
      </w:pPr>
      <w:r>
        <w:rPr>
          <w:rFonts w:ascii="Liberation Serif" w:hAnsi="Liberation Serif"/>
          <w:sz w:val="22"/>
        </w:rPr>
        <w:t>Reducir ruido no significa cerrar puertas. Significa poner puertas donde antes sólo había pasillos. Una bandeja de entrada revisada a horas concretas no es desatención; es una promesa más fiable que la respuesta impulsiva. Un bloque de trabajo sin notificaciones no es aislamiento; es la condición para producir algo que después merezca ser compartido.</w:t>
      </w:r>
    </w:p>
    <w:p>
      <w:pPr>
        <w:pStyle w:val="Heading3"/>
      </w:pPr>
      <w:r>
        <w:t>Práctica: la ventana limpia</w:t>
      </w:r>
    </w:p>
    <w:p>
      <w:pPr>
        <w:jc w:val="both"/>
      </w:pPr>
      <w:r>
        <w:rPr>
          <w:rFonts w:ascii="Liberation Serif" w:hAnsi="Liberation Serif"/>
          <w:sz w:val="22"/>
        </w:rPr>
        <w:t xml:space="preserve">Elige un bloque diario de cuarenta y cinco minutos. Cierra canales de entrada, deja visible una sola tarea y escribe al inicio una frase: </w:t>
      </w:r>
      <w:r>
        <w:rPr>
          <w:rFonts w:ascii="Liberation Serif" w:hAnsi="Liberation Serif"/>
          <w:i/>
          <w:sz w:val="22"/>
        </w:rPr>
        <w:t>al terminar este bloque, quiero haber decidido o producido...</w:t>
      </w:r>
      <w:r>
        <w:rPr>
          <w:rFonts w:ascii="Liberation Serif" w:hAnsi="Liberation Serif"/>
          <w:sz w:val="22"/>
        </w:rPr>
        <w:t xml:space="preserve"> La frase convierte el tiempo en un compromiso observable. Si al final no puedes completar esa frase, revisa qué interrumpió el bloque y si realmente debía hacerlo.</w:t>
      </w:r>
    </w:p>
    <w:p>
      <w:pPr>
        <w:jc w:val="both"/>
      </w:pPr>
      <w:r>
        <w:rPr>
          <w:rFonts w:ascii="Liberation Serif" w:hAnsi="Liberation Serif"/>
          <w:sz w:val="22"/>
        </w:rPr>
        <w:t>Gloria Mark ha documentado cómo las interrupciones frecuentes afectan al estrés y al ritmo de trabajo. No necesitas convertir esa evidencia en una obsesión métrica. Basta con aceptar una conclusión práctica: cada interrupción tiene un precio, y ese precio merece ser pagado sólo cuando el valor de interrumpir es mayor que el valor de continuar.</w:t>
      </w:r>
      <w:r>
        <w:footnoteReference w:id="3"/>
      </w:r>
    </w:p>
    <w:p>
      <w:r>
        <w:br w:type="page"/>
      </w:r>
    </w:p>
    <w:p>
      <w:pPr>
        <w:pStyle w:val="EditorialKicker"/>
      </w:pPr>
      <w:r>
        <w:t>CAPÍTULO 2</w:t>
      </w:r>
    </w:p>
    <w:p>
      <w:pPr>
        <w:pStyle w:val="Heading1"/>
        <w:pBdr>
          <w:bottom w:val="single" w:sz="18" w:space="6" w:color="C46A2C"/>
        </w:pBdr>
      </w:pPr>
      <w:r>
        <w:t>Elegir antes de optimizar</w:t>
      </w:r>
    </w:p>
    <w:p>
      <w:pPr>
        <w:jc w:val="both"/>
      </w:pPr>
      <w:r>
        <w:rPr>
          <w:rFonts w:ascii="Liberation Serif" w:hAnsi="Liberation Serif"/>
          <w:sz w:val="22"/>
        </w:rPr>
        <w:t>La productividad suele empezar por la pregunta equivocada: ¿cómo hago más? La pregunta útil es anterior: ¿qué merece hacerse? Optimizar una decisión pobre sólo consigue llegar antes al lugar equivocado. Por eso, antes de construir sistemas complejos, necesitamos un criterio de selección.</w:t>
      </w:r>
    </w:p>
    <w:p>
      <w:pPr>
        <w:jc w:val="both"/>
      </w:pPr>
      <w:r>
        <w:rPr>
          <w:rFonts w:ascii="Liberation Serif" w:hAnsi="Liberation Serif"/>
          <w:sz w:val="22"/>
        </w:rPr>
        <w:t>Un criterio no es una preferencia vaga. Es una regla que permite descartar. Si todo puede entrar, no existe prioridad; sólo existe orden temporal. La agenda de una persona sin criterios puede estar perfectamente organizada y, aun así, dedicar sus mejores horas a asuntos secundarios.</w:t>
      </w:r>
    </w:p>
    <w:p>
      <w:pPr>
        <w:pStyle w:val="Heading2"/>
      </w:pPr>
      <w:r>
        <w:t>La matriz de valor y reversibilidad</w:t>
      </w:r>
    </w:p>
    <w:p>
      <w:pPr>
        <w:jc w:val="both"/>
      </w:pPr>
      <w:r>
        <w:rPr>
          <w:rFonts w:ascii="Liberation Serif" w:hAnsi="Liberation Serif"/>
          <w:sz w:val="22"/>
        </w:rPr>
        <w:t>Una forma simple de pensar decisiones es cruzar dos dimensiones: impacto y reversibilidad. Las decisiones de alto impacto y difícil reversión merecen atención lenta. Las de bajo impacto y fácil reversión deben resolverse rápido. Entre ambos extremos hay decisiones que conviene convertir en experimentos pequeños.</w:t>
      </w:r>
    </w:p>
    <w:tbl>
      <w:tblPr>
        <w:tblStyle w:val="TableGrid"/>
        <w:tblW w:type="auto" w:w="0"/>
        <w:jc w:val="center"/>
        <w:tblLook w:firstColumn="1" w:firstRow="1" w:lastColumn="0" w:lastRow="0" w:noHBand="0" w:noVBand="1" w:val="04A0"/>
      </w:tblPr>
      <w:tblGrid>
        <w:gridCol w:w="2835"/>
        <w:gridCol w:w="2835"/>
        <w:gridCol w:w="2835"/>
      </w:tblGrid>
      <w:tr>
        <w:trPr>
          <w:tblHeader w:val="true"/>
        </w:trPr>
        <w:tc>
          <w:tcPr>
            <w:tcW w:type="dxa" w:w="2835"/>
            <w:shd w:fill="1C2738"/>
          </w:tcPr>
          <w:p>
            <w:r>
              <w:rPr>
                <w:rFonts w:ascii="Liberation Sans" w:hAnsi="Liberation Sans"/>
                <w:b/>
                <w:color w:val="FFFFFF"/>
                <w:sz w:val="17"/>
              </w:rPr>
              <w:t>Tipo de decisión</w:t>
            </w:r>
          </w:p>
        </w:tc>
        <w:tc>
          <w:tcPr>
            <w:tcW w:type="dxa" w:w="2835"/>
            <w:shd w:fill="1C2738"/>
          </w:tcPr>
          <w:p>
            <w:r>
              <w:rPr>
                <w:rFonts w:ascii="Liberation Sans" w:hAnsi="Liberation Sans"/>
                <w:b/>
                <w:color w:val="FFFFFF"/>
                <w:sz w:val="17"/>
              </w:rPr>
              <w:t>Tratamiento</w:t>
            </w:r>
          </w:p>
        </w:tc>
        <w:tc>
          <w:tcPr>
            <w:tcW w:type="dxa" w:w="2835"/>
            <w:shd w:fill="1C2738"/>
          </w:tcPr>
          <w:p>
            <w:r>
              <w:rPr>
                <w:rFonts w:ascii="Liberation Sans" w:hAnsi="Liberation Sans"/>
                <w:b/>
                <w:color w:val="FFFFFF"/>
                <w:sz w:val="17"/>
              </w:rPr>
              <w:t>Ejemplo</w:t>
            </w:r>
          </w:p>
        </w:tc>
      </w:tr>
      <w:tr>
        <w:tc>
          <w:tcPr>
            <w:tcW w:type="dxa" w:w="2835"/>
          </w:tcPr>
          <w:p>
            <w:r>
              <w:rPr>
                <w:rFonts w:ascii="Liberation Serif" w:hAnsi="Liberation Serif"/>
                <w:color w:val="232323"/>
                <w:sz w:val="17"/>
              </w:rPr>
              <w:t>Alto impacto / difícil de revertir</w:t>
            </w:r>
          </w:p>
        </w:tc>
        <w:tc>
          <w:tcPr>
            <w:tcW w:type="dxa" w:w="2835"/>
          </w:tcPr>
          <w:p>
            <w:r>
              <w:rPr>
                <w:rFonts w:ascii="Liberation Serif" w:hAnsi="Liberation Serif"/>
                <w:color w:val="232323"/>
                <w:sz w:val="17"/>
              </w:rPr>
              <w:t>Atención lenta + criterios explícitos</w:t>
            </w:r>
          </w:p>
        </w:tc>
        <w:tc>
          <w:tcPr>
            <w:tcW w:type="dxa" w:w="2835"/>
          </w:tcPr>
          <w:p>
            <w:r>
              <w:rPr>
                <w:rFonts w:ascii="Liberation Serif" w:hAnsi="Liberation Serif"/>
                <w:color w:val="232323"/>
                <w:sz w:val="17"/>
              </w:rPr>
              <w:t>Cambiar de ciudad o modelo de negocio</w:t>
            </w:r>
          </w:p>
        </w:tc>
      </w:tr>
      <w:tr>
        <w:tc>
          <w:tcPr>
            <w:tcW w:type="dxa" w:w="2835"/>
            <w:shd w:fill="F4F1EA"/>
          </w:tcPr>
          <w:p>
            <w:r>
              <w:rPr>
                <w:rFonts w:ascii="Liberation Serif" w:hAnsi="Liberation Serif"/>
                <w:color w:val="232323"/>
                <w:sz w:val="17"/>
              </w:rPr>
              <w:t>Alto impacto / fácil de revertir</w:t>
            </w:r>
          </w:p>
        </w:tc>
        <w:tc>
          <w:tcPr>
            <w:tcW w:type="dxa" w:w="2835"/>
            <w:shd w:fill="F4F1EA"/>
          </w:tcPr>
          <w:p>
            <w:r>
              <w:rPr>
                <w:rFonts w:ascii="Liberation Serif" w:hAnsi="Liberation Serif"/>
                <w:color w:val="232323"/>
                <w:sz w:val="17"/>
              </w:rPr>
              <w:t>Experimento corto + revisión</w:t>
            </w:r>
          </w:p>
        </w:tc>
        <w:tc>
          <w:tcPr>
            <w:tcW w:type="dxa" w:w="2835"/>
            <w:shd w:fill="F4F1EA"/>
          </w:tcPr>
          <w:p>
            <w:r>
              <w:rPr>
                <w:rFonts w:ascii="Liberation Serif" w:hAnsi="Liberation Serif"/>
                <w:color w:val="232323"/>
                <w:sz w:val="17"/>
              </w:rPr>
              <w:t>Probar un nuevo canal comercial</w:t>
            </w:r>
          </w:p>
        </w:tc>
      </w:tr>
      <w:tr>
        <w:tc>
          <w:tcPr>
            <w:tcW w:type="dxa" w:w="2835"/>
          </w:tcPr>
          <w:p>
            <w:r>
              <w:rPr>
                <w:rFonts w:ascii="Liberation Serif" w:hAnsi="Liberation Serif"/>
                <w:color w:val="232323"/>
                <w:sz w:val="17"/>
              </w:rPr>
              <w:t>Bajo impacto / difícil de revertir</w:t>
            </w:r>
          </w:p>
        </w:tc>
        <w:tc>
          <w:tcPr>
            <w:tcW w:type="dxa" w:w="2835"/>
          </w:tcPr>
          <w:p>
            <w:r>
              <w:rPr>
                <w:rFonts w:ascii="Liberation Serif" w:hAnsi="Liberation Serif"/>
                <w:color w:val="232323"/>
                <w:sz w:val="17"/>
              </w:rPr>
              <w:t>Evitar si no aporta valor claro</w:t>
            </w:r>
          </w:p>
        </w:tc>
        <w:tc>
          <w:tcPr>
            <w:tcW w:type="dxa" w:w="2835"/>
          </w:tcPr>
          <w:p>
            <w:r>
              <w:rPr>
                <w:rFonts w:ascii="Liberation Serif" w:hAnsi="Liberation Serif"/>
                <w:color w:val="232323"/>
                <w:sz w:val="17"/>
              </w:rPr>
              <w:t>Compromiso administrativo rígido</w:t>
            </w:r>
          </w:p>
        </w:tc>
      </w:tr>
      <w:tr>
        <w:tc>
          <w:tcPr>
            <w:tcW w:type="dxa" w:w="2835"/>
            <w:shd w:fill="F4F1EA"/>
          </w:tcPr>
          <w:p>
            <w:r>
              <w:rPr>
                <w:rFonts w:ascii="Liberation Serif" w:hAnsi="Liberation Serif"/>
                <w:color w:val="232323"/>
                <w:sz w:val="17"/>
              </w:rPr>
              <w:t>Bajo impacto / fácil de revertir</w:t>
            </w:r>
          </w:p>
        </w:tc>
        <w:tc>
          <w:tcPr>
            <w:tcW w:type="dxa" w:w="2835"/>
            <w:shd w:fill="F4F1EA"/>
          </w:tcPr>
          <w:p>
            <w:r>
              <w:rPr>
                <w:rFonts w:ascii="Liberation Serif" w:hAnsi="Liberation Serif"/>
                <w:color w:val="232323"/>
                <w:sz w:val="17"/>
              </w:rPr>
              <w:t>Decidir rápido</w:t>
            </w:r>
          </w:p>
        </w:tc>
        <w:tc>
          <w:tcPr>
            <w:tcW w:type="dxa" w:w="2835"/>
            <w:shd w:fill="F4F1EA"/>
          </w:tcPr>
          <w:p>
            <w:r>
              <w:rPr>
                <w:rFonts w:ascii="Liberation Serif" w:hAnsi="Liberation Serif"/>
                <w:color w:val="232323"/>
                <w:sz w:val="17"/>
              </w:rPr>
              <w:t>Herramienta menor o formato de una reunión</w:t>
            </w:r>
          </w:p>
        </w:tc>
      </w:tr>
    </w:tbl>
    <w:p/>
    <w:p>
      <w:pPr>
        <w:jc w:val="both"/>
      </w:pPr>
      <w:r>
        <w:rPr>
          <w:rFonts w:ascii="Liberation Serif" w:hAnsi="Liberation Serif"/>
          <w:sz w:val="22"/>
        </w:rPr>
        <w:t>La mayoría de la fatiga cotidiana proviene de tratar decisiones pequeñas como si fueran estratégicas y decisiones estratégicas como si fueran urgencias. Elegimos durante veinte minutos una herramienta y durante cinco minutos un compromiso de seis meses. Invertir esa proporción cambia más que cualquier aplicación de productividad.</w:t>
      </w:r>
    </w:p>
    <w:p>
      <w:pPr>
        <w:pStyle w:val="Heading3"/>
      </w:pPr>
      <w:r>
        <w:t>Tres preguntas antes de decir sí</w:t>
      </w:r>
    </w:p>
    <w:p>
      <w:pPr>
        <w:pStyle w:val="ListNumber"/>
        <w:ind w:left="340" w:hanging="170"/>
      </w:pPr>
      <w:r>
        <w:rPr>
          <w:rFonts w:ascii="Liberation Serif" w:hAnsi="Liberation Serif"/>
          <w:sz w:val="22"/>
        </w:rPr>
        <w:t>¿Qué desplaza esto si entra? Toda nueva tarea ocupa un lugar que ya tenía otro uso.</w:t>
      </w:r>
    </w:p>
    <w:p>
      <w:pPr>
        <w:pStyle w:val="ListNumber"/>
        <w:ind w:left="340" w:hanging="170"/>
      </w:pPr>
      <w:r>
        <w:rPr>
          <w:rFonts w:ascii="Liberation Serif" w:hAnsi="Liberation Serif"/>
          <w:sz w:val="22"/>
        </w:rPr>
        <w:t>¿Qué evidencia tendría que aparecer para que cambiara de opinión? Sin condición de revisión, una decisión se convierte en identidad.</w:t>
      </w:r>
    </w:p>
    <w:p>
      <w:pPr>
        <w:pStyle w:val="ListNumber"/>
        <w:ind w:left="340" w:hanging="170"/>
      </w:pPr>
      <w:r>
        <w:rPr>
          <w:rFonts w:ascii="Liberation Serif" w:hAnsi="Liberation Serif"/>
          <w:sz w:val="22"/>
        </w:rPr>
        <w:t>¿Cuál es la versión mínima que permite aprender? Si puedes obtener información con una prueba pequeña, evita comprometer toda la estructura.</w:t>
      </w:r>
    </w:p>
    <w:p>
      <w:pPr>
        <w:jc w:val="both"/>
      </w:pPr>
      <w:r>
        <w:rPr>
          <w:rFonts w:ascii="Liberation Serif" w:hAnsi="Liberation Serif"/>
          <w:sz w:val="22"/>
        </w:rPr>
        <w:t>El objetivo no es decidir siempre bien. Eso es imposible. El objetivo es diseñar decisiones que sean legibles después: saber qué asumiste, qué esperabas y cuándo revisarías. Una buena decisión puede producir un mal resultado; una mala decisión puede salir bien por suerte. Separar proceso y resultado protege el aprendizaje.</w:t>
      </w:r>
    </w:p>
    <w:p>
      <w:pPr>
        <w:pStyle w:val="Heading3"/>
      </w:pPr>
      <w:r>
        <w:t>Práctica: el registro de decisiones</w:t>
      </w:r>
    </w:p>
    <w:p>
      <w:pPr>
        <w:jc w:val="both"/>
      </w:pPr>
      <w:r>
        <w:rPr>
          <w:rFonts w:ascii="Liberation Serif" w:hAnsi="Liberation Serif"/>
          <w:sz w:val="22"/>
        </w:rPr>
        <w:t>Crea una tabla con cinco columnas: fecha, decisión, criterio, evidencia esperada y fecha de revisión. Úsala sólo para decisiones que afecten a más de una semana de trabajo o a más de una persona. En un mes tendrás algo más valioso que una lista de tareas: un mapa de cómo piensas cuando la información todavía es incompleta.</w:t>
      </w:r>
    </w:p>
    <w:p>
      <w:pPr>
        <w:jc w:val="both"/>
      </w:pPr>
      <w:r>
        <w:rPr>
          <w:rFonts w:ascii="Liberation Serif" w:hAnsi="Liberation Serif"/>
          <w:sz w:val="22"/>
        </w:rPr>
        <w:t>La atención mejora cuando deja de perseguir todas las posibilidades y empieza a sostener unas pocas apuestas explícitas. Elegir es cerrar caminos temporalmente. Esa renuncia no reduce libertad; la vuelve operativa.</w:t>
      </w:r>
    </w:p>
    <w:p>
      <w:r>
        <w:br w:type="page"/>
      </w:r>
    </w:p>
    <w:p>
      <w:pPr>
        <w:pStyle w:val="EditorialKicker"/>
      </w:pPr>
      <w:r>
        <w:t>CAPÍTULO 3</w:t>
      </w:r>
    </w:p>
    <w:p>
      <w:pPr>
        <w:pStyle w:val="Heading1"/>
        <w:pBdr>
          <w:bottom w:val="single" w:sz="18" w:space="6" w:color="C46A2C"/>
        </w:pBdr>
      </w:pPr>
      <w:r>
        <w:t>Diseñar un sistema de atención</w:t>
      </w:r>
    </w:p>
    <w:p>
      <w:pPr>
        <w:jc w:val="both"/>
      </w:pPr>
      <w:r>
        <w:rPr>
          <w:rFonts w:ascii="Liberation Serif" w:hAnsi="Liberation Serif"/>
          <w:sz w:val="22"/>
        </w:rPr>
        <w:t>Un buen sistema no depende de tener un día excelente. Funciona precisamente cuando la energía baja, las urgencias aparecen y la motivación deja de ayudar. Por eso la arquitectura de atención debe construirse con pocas reglas, visibles y fáciles de recuperar.</w:t>
      </w:r>
    </w:p>
    <w:p>
      <w:pPr>
        <w:jc w:val="both"/>
      </w:pPr>
      <w:r>
        <w:rPr>
          <w:rFonts w:ascii="Liberation Serif" w:hAnsi="Liberation Serif"/>
          <w:sz w:val="22"/>
        </w:rPr>
        <w:t>Cal Newport ha descrito el valor del trabajo profundo como la capacidad de concentrarse sin distracción en una tarea cognitivamente exigente. La idea es potente, pero su aplicación cotidiana no exige retiros heroicos. Exige proteger bloques modestos y repetibles.</w:t>
      </w:r>
      <w:r>
        <w:footnoteReference w:id="4"/>
      </w:r>
    </w:p>
    <w:p>
      <w:pPr>
        <w:pStyle w:val="Heading2"/>
      </w:pPr>
      <w:r>
        <w:t>Tres capas, no veinte herramientas</w:t>
      </w:r>
    </w:p>
    <w:p>
      <w:pPr>
        <w:jc w:val="both"/>
      </w:pPr>
      <w:r>
        <w:rPr>
          <w:rFonts w:ascii="Liberation Serif" w:hAnsi="Liberation Serif"/>
          <w:sz w:val="22"/>
        </w:rPr>
        <w:t xml:space="preserve">La primera capa es </w:t>
      </w:r>
      <w:r>
        <w:rPr>
          <w:rFonts w:ascii="Liberation Serif" w:hAnsi="Liberation Serif"/>
          <w:b/>
          <w:sz w:val="22"/>
        </w:rPr>
        <w:t>captura</w:t>
      </w:r>
      <w:r>
        <w:rPr>
          <w:rFonts w:ascii="Liberation Serif" w:hAnsi="Liberation Serif"/>
          <w:sz w:val="22"/>
        </w:rPr>
        <w:t xml:space="preserve">: un lugar único donde depositas lo que no quieres mantener en memoria. La segunda es </w:t>
      </w:r>
      <w:r>
        <w:rPr>
          <w:rFonts w:ascii="Liberation Serif" w:hAnsi="Liberation Serif"/>
          <w:b/>
          <w:sz w:val="22"/>
        </w:rPr>
        <w:t>decisión</w:t>
      </w:r>
      <w:r>
        <w:rPr>
          <w:rFonts w:ascii="Liberation Serif" w:hAnsi="Liberation Serif"/>
          <w:sz w:val="22"/>
        </w:rPr>
        <w:t xml:space="preserve">: un momento concreto para convertir entradas en acciones, proyectos, espera o descarte. La tercera es </w:t>
      </w:r>
      <w:r>
        <w:rPr>
          <w:rFonts w:ascii="Liberation Serif" w:hAnsi="Liberation Serif"/>
          <w:b/>
          <w:sz w:val="22"/>
        </w:rPr>
        <w:t>ejecución</w:t>
      </w:r>
      <w:r>
        <w:rPr>
          <w:rFonts w:ascii="Liberation Serif" w:hAnsi="Liberation Serif"/>
          <w:sz w:val="22"/>
        </w:rPr>
        <w:t>: una vista limitada de lo que merece atención ahora. Cuando estas tres capas se mezclan, cada herramienta se convierte en otra bandeja de entrada.</w:t>
      </w:r>
    </w:p>
    <w:p>
      <w:pPr>
        <w:pStyle w:val="BlockQuote"/>
        <w:pBdr>
          <w:left w:val="single" w:sz="18" w:space="8" w:color="B6852E"/>
        </w:pBdr>
      </w:pPr>
      <w:r>
        <w:rPr>
          <w:rFonts w:ascii="Liberation Serif" w:hAnsi="Liberation Serif"/>
          <w:i/>
          <w:sz w:val="25"/>
        </w:rPr>
        <w:t>La herramienta correcta es la que desaparece cuando empieza el trabajo.</w:t>
      </w:r>
      <w:r>
        <w:rPr>
          <w:rFonts w:ascii="Liberation Serif" w:hAnsi="Liberation Serif"/>
          <w:sz w:val="25"/>
        </w:rPr>
        <w:t xml:space="preserve"> Si necesitas pensar constantemente en el sistema, el sistema ha dejado de servirte.</w:t>
      </w:r>
    </w:p>
    <w:p>
      <w:pPr>
        <w:pStyle w:val="Heading3"/>
      </w:pPr>
      <w:r>
        <w:t>El ritual de apertura</w:t>
      </w:r>
    </w:p>
    <w:p>
      <w:pPr>
        <w:jc w:val="both"/>
      </w:pPr>
      <w:r>
        <w:rPr>
          <w:rFonts w:ascii="Liberation Serif" w:hAnsi="Liberation Serif"/>
          <w:sz w:val="22"/>
        </w:rPr>
        <w:t>Antes del primer bloque importante del día, revisa sólo tres elementos: el resultado principal, la restricción más probable y el primer paso visible. Evita revisar todas las listas. La apertura no pretende recordar todo; pretende declarar qué parte del sistema está activa.</w:t>
      </w:r>
    </w:p>
    <w:p>
      <w:pPr>
        <w:pStyle w:val="Heading3"/>
      </w:pPr>
      <w:r>
        <w:t>El ritual de cierre</w:t>
      </w:r>
    </w:p>
    <w:p>
      <w:pPr>
        <w:jc w:val="both"/>
      </w:pPr>
      <w:r>
        <w:rPr>
          <w:rFonts w:ascii="Liberation Serif" w:hAnsi="Liberation Serif"/>
          <w:sz w:val="22"/>
        </w:rPr>
        <w:t>Al terminar, registra qué quedó abierto, qué cambió y cuál es el siguiente paso. Este cierre reduce el residuo mental de las tareas incompletas. No elimina pendientes, pero evita que permanezcan en la memoria como alarmas sin nombre.</w:t>
      </w:r>
    </w:p>
    <w:p>
      <w:pPr>
        <w:jc w:val="both"/>
      </w:pPr>
      <w:r>
        <w:rPr>
          <w:rFonts w:ascii="Liberation Serif" w:hAnsi="Liberation Serif"/>
          <w:sz w:val="22"/>
        </w:rPr>
        <w:t>Un sistema de atención también necesita espacios sin intención productiva. Caminar, leer sin tomar notas, conversar sin capturar ideas o simplemente dejar una tarde sin optimizar cumplen una función reguladora. La profundidad no se sostiene si cada pausa se convierte en otra actividad instrumental.</w:t>
      </w:r>
    </w:p>
    <w:p>
      <w:pPr>
        <w:pStyle w:val="Heading3"/>
      </w:pPr>
      <w:r>
        <w:t>Práctica: diseña tu tablero mínimo</w:t>
      </w:r>
    </w:p>
    <w:p>
      <w:pPr>
        <w:jc w:val="both"/>
      </w:pPr>
      <w:r>
        <w:rPr>
          <w:rFonts w:ascii="Liberation Serif" w:hAnsi="Liberation Serif"/>
          <w:sz w:val="22"/>
        </w:rPr>
        <w:t xml:space="preserve">Usa tres columnas durante una semana: </w:t>
      </w:r>
      <w:r>
        <w:rPr>
          <w:rFonts w:ascii="Liberation Serif" w:hAnsi="Liberation Serif"/>
          <w:b/>
          <w:sz w:val="22"/>
        </w:rPr>
        <w:t>Ahora</w:t>
      </w:r>
      <w:r>
        <w:rPr>
          <w:rFonts w:ascii="Liberation Serif" w:hAnsi="Liberation Serif"/>
          <w:sz w:val="22"/>
        </w:rPr>
        <w:t xml:space="preserve">, </w:t>
      </w:r>
      <w:r>
        <w:rPr>
          <w:rFonts w:ascii="Liberation Serif" w:hAnsi="Liberation Serif"/>
          <w:b/>
          <w:sz w:val="22"/>
        </w:rPr>
        <w:t>Después</w:t>
      </w:r>
      <w:r>
        <w:rPr>
          <w:rFonts w:ascii="Liberation Serif" w:hAnsi="Liberation Serif"/>
          <w:sz w:val="22"/>
        </w:rPr>
        <w:t xml:space="preserve">, </w:t>
      </w:r>
      <w:r>
        <w:rPr>
          <w:rFonts w:ascii="Liberation Serif" w:hAnsi="Liberation Serif"/>
          <w:b/>
          <w:sz w:val="22"/>
        </w:rPr>
        <w:t>Fuera</w:t>
      </w:r>
      <w:r>
        <w:rPr>
          <w:rFonts w:ascii="Liberation Serif" w:hAnsi="Liberation Serif"/>
          <w:sz w:val="22"/>
        </w:rPr>
        <w:t>. En Ahora no puede haber más de tres asuntos. Después contiene lo que está decidido pero no activo. Fuera reúne ideas, posibilidades y tareas que deliberadamente no competirán esta semana. La columna más importante es Fuera: obliga a practicar la exclusión.</w:t>
      </w:r>
    </w:p>
    <w:p>
      <w:pPr>
        <w:jc w:val="both"/>
      </w:pPr>
      <w:r>
        <w:rPr>
          <w:rFonts w:ascii="Liberation Serif" w:hAnsi="Liberation Serif"/>
          <w:sz w:val="22"/>
        </w:rPr>
        <w:t>El sistema funciona cuando reduce decisiones repetidas. Si cada mañana vuelves a decidir desde cero qué importa, no tienes un sistema; tienes una ceremonia. Una arquitectura útil conserva decisiones anteriores hasta que aparece nueva evidencia suficiente para revisarlas.</w:t>
      </w:r>
    </w:p>
    <w:p>
      <w:r>
        <w:br w:type="page"/>
      </w:r>
    </w:p>
    <w:p>
      <w:pPr>
        <w:pStyle w:val="EditorialKicker"/>
      </w:pPr>
      <w:r>
        <w:t>CAPÍTULO 4</w:t>
      </w:r>
    </w:p>
    <w:p>
      <w:pPr>
        <w:pStyle w:val="Heading1"/>
        <w:pBdr>
          <w:bottom w:val="single" w:sz="18" w:space="6" w:color="C46A2C"/>
        </w:pBdr>
      </w:pPr>
      <w:r>
        <w:t>Decisiones con criterio</w:t>
      </w:r>
    </w:p>
    <w:p>
      <w:pPr>
        <w:jc w:val="both"/>
      </w:pPr>
      <w:r>
        <w:rPr>
          <w:rFonts w:ascii="Liberation Serif" w:hAnsi="Liberation Serif"/>
          <w:sz w:val="22"/>
        </w:rPr>
        <w:t>La claridad no consiste en tener certeza, sino en saber qué incertidumbre estás aceptando. Las decisiones complejas rara vez ofrecen información completa. Esperar a eliminar toda duda suele ser otra forma de posponer la responsabilidad.</w:t>
      </w:r>
    </w:p>
    <w:p>
      <w:pPr>
        <w:pStyle w:val="Heading2"/>
      </w:pPr>
      <w:r>
        <w:t>De opiniones a criterios</w:t>
      </w:r>
    </w:p>
    <w:p>
      <w:pPr>
        <w:jc w:val="both"/>
      </w:pPr>
      <w:r>
        <w:rPr>
          <w:rFonts w:ascii="Liberation Serif" w:hAnsi="Liberation Serif"/>
          <w:sz w:val="22"/>
        </w:rPr>
        <w:t>Cuando una conversación se atasca, muchas veces las personas discuten soluciones antes de acordar criterios. Una persona quiere velocidad, otra fiabilidad, otra reversibilidad. Las tres pueden tener razón dentro de marcos distintos. Hacer visibles esos marcos reduce conflicto y mejora la calidad de la decisión.</w:t>
      </w:r>
    </w:p>
    <w:p>
      <w:pPr>
        <w:jc w:val="both"/>
      </w:pPr>
      <w:r>
        <w:rPr>
          <w:rFonts w:ascii="Liberation Serif" w:hAnsi="Liberation Serif"/>
          <w:sz w:val="22"/>
        </w:rPr>
        <w:t>Para una decisión relevante, escribe primero entre tres y cinco criterios. Después asigna a cada opción una valoración sencilla: alta, media o baja. No conviertas esto en una falsa matemática. La tabla no decide por ti; hace visibles las compensaciones que tu intuición ya estaba manejando.</w:t>
      </w:r>
    </w:p>
    <w:p>
      <w:pPr>
        <w:pStyle w:val="Heading2"/>
      </w:pPr>
      <w:r>
        <w:t>La regla de la evidencia suficiente</w:t>
      </w:r>
    </w:p>
    <w:p>
      <w:pPr>
        <w:jc w:val="both"/>
      </w:pPr>
      <w:r>
        <w:rPr>
          <w:rFonts w:ascii="Liberation Serif" w:hAnsi="Liberation Serif"/>
          <w:sz w:val="22"/>
        </w:rPr>
        <w:t>No toda decisión merece más investigación. Define por adelantado qué evidencia sería suficiente para actuar. Cuando aparece, decide. Seguir buscando después de alcanzar el umbral suele aumentar información sin aumentar claridad.</w:t>
      </w:r>
    </w:p>
    <w:p>
      <w:pPr>
        <w:jc w:val="both"/>
      </w:pPr>
      <w:r>
        <w:rPr>
          <w:rFonts w:ascii="Liberation Serif" w:hAnsi="Liberation Serif"/>
          <w:sz w:val="22"/>
        </w:rPr>
        <w:t>La misma regla sirve para el trabajo con inteligencia artificial. Una respuesta generada puede producir diez posibilidades en segundos, pero multiplicar opciones no equivale a mejorar el criterio. Antes de pedir alternativas, define qué haría que una fuera mejor que otra. De lo contrario, delegas la generación y también, sin querer, la decisión.</w:t>
      </w:r>
    </w:p>
    <w:p>
      <w:pPr>
        <w:pStyle w:val="Heading3"/>
      </w:pPr>
      <w:r>
        <w:t>Práctica: pre-mortem de diez minutos</w:t>
      </w:r>
    </w:p>
    <w:p>
      <w:pPr>
        <w:jc w:val="both"/>
      </w:pPr>
      <w:r>
        <w:rPr>
          <w:rFonts w:ascii="Liberation Serif" w:hAnsi="Liberation Serif"/>
          <w:sz w:val="22"/>
        </w:rPr>
        <w:t>Antes de comprometer una decisión importante, imagina que dentro de seis meses salió mal. Escribe tres razones plausibles. Después pregunta qué señal temprana habría aparecido en las primeras dos semanas. Ese ejercicio no predice el futuro; transforma riesgos abstractos en observaciones concretas.</w:t>
      </w:r>
    </w:p>
    <w:p>
      <w:pPr>
        <w:pStyle w:val="ListNumber"/>
        <w:ind w:left="340" w:hanging="170"/>
      </w:pPr>
      <w:r>
        <w:rPr>
          <w:rFonts w:ascii="Liberation Serif" w:hAnsi="Liberation Serif"/>
          <w:sz w:val="22"/>
        </w:rPr>
        <w:t>Define el resultado que quieres proteger.</w:t>
      </w:r>
    </w:p>
    <w:p>
      <w:pPr>
        <w:pStyle w:val="ListNumber"/>
        <w:ind w:left="340" w:hanging="170"/>
      </w:pPr>
      <w:r>
        <w:rPr>
          <w:rFonts w:ascii="Liberation Serif" w:hAnsi="Liberation Serif"/>
          <w:sz w:val="22"/>
        </w:rPr>
        <w:t>Escribe el principal supuesto que podría ser falso.</w:t>
      </w:r>
    </w:p>
    <w:p>
      <w:pPr>
        <w:pStyle w:val="ListNumber"/>
        <w:ind w:left="340" w:hanging="170"/>
      </w:pPr>
      <w:r>
        <w:rPr>
          <w:rFonts w:ascii="Liberation Serif" w:hAnsi="Liberation Serif"/>
          <w:sz w:val="22"/>
        </w:rPr>
        <w:t>Decide qué señal observarás primero.</w:t>
      </w:r>
    </w:p>
    <w:p>
      <w:pPr>
        <w:pStyle w:val="ListNumber"/>
        <w:ind w:left="340" w:hanging="170"/>
      </w:pPr>
      <w:r>
        <w:rPr>
          <w:rFonts w:ascii="Liberation Serif" w:hAnsi="Liberation Serif"/>
          <w:sz w:val="22"/>
        </w:rPr>
        <w:t>Fija una fecha de revisión.</w:t>
      </w:r>
    </w:p>
    <w:p>
      <w:pPr>
        <w:pStyle w:val="ListNumber"/>
        <w:ind w:left="340" w:hanging="170"/>
      </w:pPr>
      <w:r>
        <w:rPr>
          <w:rFonts w:ascii="Liberation Serif" w:hAnsi="Liberation Serif"/>
          <w:sz w:val="22"/>
        </w:rPr>
        <w:t>Actúa con la mejor información disponible.</w:t>
      </w:r>
    </w:p>
    <w:p>
      <w:pPr>
        <w:jc w:val="both"/>
      </w:pPr>
      <w:r>
        <w:rPr>
          <w:rFonts w:ascii="Liberation Serif" w:hAnsi="Liberation Serif"/>
          <w:sz w:val="22"/>
        </w:rPr>
        <w:t>La calidad de una decisión aumenta cuando la revisión está diseñada desde el principio. Revisar no significa dudar de todo; significa aceptar que una decisión es una hipótesis operativa. Algunas se confirman, otras se corrigen y unas pocas deben abandonarse. Todas pueden enseñarte algo si recuerdas por qué las tomaste.</w:t>
      </w:r>
    </w:p>
    <w:p>
      <w:r>
        <w:br w:type="page"/>
      </w:r>
    </w:p>
    <w:p>
      <w:pPr>
        <w:pStyle w:val="EditorialKicker"/>
      </w:pPr>
      <w:r>
        <w:t>CAPÍTULO 5</w:t>
      </w:r>
    </w:p>
    <w:p>
      <w:pPr>
        <w:pStyle w:val="Heading1"/>
        <w:pBdr>
          <w:bottom w:val="single" w:sz="18" w:space="6" w:color="C46A2C"/>
        </w:pBdr>
      </w:pPr>
      <w:r>
        <w:t>Ritmos sostenibles</w:t>
      </w:r>
    </w:p>
    <w:p>
      <w:pPr>
        <w:jc w:val="both"/>
      </w:pPr>
      <w:r>
        <w:rPr>
          <w:rFonts w:ascii="Liberation Serif" w:hAnsi="Liberation Serif"/>
          <w:sz w:val="22"/>
        </w:rPr>
        <w:t>La atención también tiene estaciones. Hay horas de gran precisión y horas de mantenimiento, semanas de construcción y semanas de cierre. Ignorar esos ritmos produce un sistema que parece disciplinado desde fuera, pero que internamente depende de forzar siempre el mismo rendimiento.</w:t>
      </w:r>
    </w:p>
    <w:p>
      <w:pPr>
        <w:jc w:val="both"/>
      </w:pPr>
      <w:r>
        <w:rPr>
          <w:rFonts w:ascii="Liberation Serif" w:hAnsi="Liberation Serif"/>
          <w:sz w:val="22"/>
        </w:rPr>
        <w:t>James Clear ha popularizado una idea útil: los hábitos consistentes dependen más del diseño del entorno que de la intensidad de la motivación. Aplicado a la atención, esto significa preparar las condiciones antes de necesitarlas: documentos abiertos, notificaciones cerradas, siguiente paso escrito, reuniones agrupadas y espacios de recuperación protegidos.</w:t>
      </w:r>
      <w:r>
        <w:footnoteReference w:id="5"/>
      </w:r>
    </w:p>
    <w:p>
      <w:pPr>
        <w:pStyle w:val="Heading2"/>
      </w:pPr>
      <w:r>
        <w:t>Diseñar por energía, no sólo por reloj</w:t>
      </w:r>
    </w:p>
    <w:p>
      <w:pPr>
        <w:jc w:val="both"/>
      </w:pPr>
      <w:r>
        <w:rPr>
          <w:rFonts w:ascii="Liberation Serif" w:hAnsi="Liberation Serif"/>
          <w:sz w:val="22"/>
        </w:rPr>
        <w:t>No todas las horas tienen el mismo valor cognitivo. Reserva tus mejores franjas para tareas que requieran comprender, escribir, diseñar o decidir. Deja mantenimiento y coordinación para momentos de menor energía. El calendario deja así de ser una cuadrícula neutra y se convierte en una representación de tu capacidad real.</w:t>
      </w:r>
    </w:p>
    <w:p>
      <w:pPr>
        <w:pStyle w:val="Heading3"/>
      </w:pPr>
      <w:r>
        <w:t>Cuatro ritmos útiles</w:t>
      </w:r>
    </w:p>
    <w:p>
      <w:pPr>
        <w:pStyle w:val="ListBullet"/>
      </w:pPr>
      <w:r>
        <w:rPr>
          <w:rFonts w:ascii="Liberation Serif" w:hAnsi="Liberation Serif"/>
          <w:b/>
          <w:sz w:val="22"/>
        </w:rPr>
        <w:t>Diario:</w:t>
      </w:r>
      <w:r>
        <w:rPr>
          <w:rFonts w:ascii="Liberation Serif" w:hAnsi="Liberation Serif"/>
          <w:sz w:val="22"/>
        </w:rPr>
        <w:t xml:space="preserve"> un bloque de atención protegida y un cierre breve.</w:t>
      </w:r>
    </w:p>
    <w:p>
      <w:pPr>
        <w:pStyle w:val="ListBullet"/>
      </w:pPr>
      <w:r>
        <w:rPr>
          <w:rFonts w:ascii="Liberation Serif" w:hAnsi="Liberation Serif"/>
          <w:b/>
          <w:sz w:val="22"/>
        </w:rPr>
        <w:t>Semanal:</w:t>
      </w:r>
      <w:r>
        <w:rPr>
          <w:rFonts w:ascii="Liberation Serif" w:hAnsi="Liberation Serif"/>
          <w:sz w:val="22"/>
        </w:rPr>
        <w:t xml:space="preserve"> revisar compromisos, cancelar lo que perdió sentido y elegir tres resultados.</w:t>
      </w:r>
    </w:p>
    <w:p>
      <w:pPr>
        <w:pStyle w:val="ListBullet"/>
      </w:pPr>
      <w:r>
        <w:rPr>
          <w:rFonts w:ascii="Liberation Serif" w:hAnsi="Liberation Serif"/>
          <w:b/>
          <w:sz w:val="22"/>
        </w:rPr>
        <w:t>Mensual:</w:t>
      </w:r>
      <w:r>
        <w:rPr>
          <w:rFonts w:ascii="Liberation Serif" w:hAnsi="Liberation Serif"/>
          <w:sz w:val="22"/>
        </w:rPr>
        <w:t xml:space="preserve"> revisar decisiones importantes y detectar fuentes recurrentes de ruido.</w:t>
      </w:r>
    </w:p>
    <w:p>
      <w:pPr>
        <w:pStyle w:val="ListBullet"/>
      </w:pPr>
      <w:r>
        <w:rPr>
          <w:rFonts w:ascii="Liberation Serif" w:hAnsi="Liberation Serif"/>
          <w:b/>
          <w:sz w:val="22"/>
        </w:rPr>
        <w:t>Trimestral:</w:t>
      </w:r>
      <w:r>
        <w:rPr>
          <w:rFonts w:ascii="Liberation Serif" w:hAnsi="Liberation Serif"/>
          <w:sz w:val="22"/>
        </w:rPr>
        <w:t xml:space="preserve"> redefinir prioridades antes de que las prioridades heredadas se conviertan en inercia.</w:t>
      </w:r>
    </w:p>
    <w:p>
      <w:pPr>
        <w:pStyle w:val="Heading2"/>
      </w:pPr>
      <w:r>
        <w:t>La recuperación como infraestructura</w:t>
      </w:r>
    </w:p>
    <w:p>
      <w:pPr>
        <w:jc w:val="both"/>
      </w:pPr>
      <w:r>
        <w:rPr>
          <w:rFonts w:ascii="Liberation Serif" w:hAnsi="Liberation Serif"/>
          <w:sz w:val="22"/>
        </w:rPr>
        <w:t>Descansar no es el premio por haber terminado todo, porque todo nunca termina. La recuperación es una condición de funcionamiento. Dormir, moverse, conversar, leer por placer o no producir durante un rato no son interrupciones del sistema; son parte del sistema.</w:t>
      </w:r>
    </w:p>
    <w:p>
      <w:pPr>
        <w:jc w:val="both"/>
      </w:pPr>
      <w:r>
        <w:rPr>
          <w:rFonts w:ascii="Liberation Serif" w:hAnsi="Liberation Serif"/>
          <w:sz w:val="22"/>
        </w:rPr>
        <w:t>Un ritmo sostenible también limita la deuda de atención: conversaciones pendientes, decisiones ambiguas, tareas sin siguiente paso y proyectos que nadie ha cerrado. Esa deuda ocupa memoria incluso cuando no aparece en pantalla. Una revisión semanal eficaz no consiste sólo en añadir tareas, sino en cerrar, delegar, archivar y renunciar.</w:t>
      </w:r>
    </w:p>
    <w:p>
      <w:pPr>
        <w:pStyle w:val="Heading3"/>
      </w:pPr>
      <w:r>
        <w:t>Práctica: la semana con bordes</w:t>
      </w:r>
    </w:p>
    <w:p>
      <w:pPr>
        <w:jc w:val="both"/>
      </w:pPr>
      <w:r>
        <w:rPr>
          <w:rFonts w:ascii="Liberation Serif" w:hAnsi="Liberation Serif"/>
          <w:sz w:val="22"/>
        </w:rPr>
        <w:t>Define una hora concreta para comenzar y otra para terminar el trabajo durante cinco días. Dentro de ese marco, protege dos bloques profundos y agrupa las reuniones. Fuera del marco, captura ideas sin ejecutarlas. El experimento no busca rigidez; busca comprobar cuánto estrés proviene de no saber nunca si la jornada ha terminado.</w:t>
      </w:r>
    </w:p>
    <w:p>
      <w:pPr>
        <w:jc w:val="both"/>
      </w:pPr>
      <w:r>
        <w:rPr>
          <w:rFonts w:ascii="Liberation Serif" w:hAnsi="Liberation Serif"/>
          <w:sz w:val="22"/>
        </w:rPr>
        <w:t>La arquitectura de la atención no pretende que controles cada minuto. Pretende lo contrario: que controles lo suficiente la estructura como para poder olvidarte de ella y volver a vivir dentro del tiempo, no encima de él.</w:t>
      </w:r>
    </w:p>
    <w:p>
      <w:r>
        <w:br w:type="page"/>
      </w:r>
    </w:p>
    <w:p>
      <w:pPr>
        <w:pStyle w:val="EditorialKicker"/>
      </w:pPr>
      <w:r>
        <w:t>CONCLUSIÓN</w:t>
      </w:r>
    </w:p>
    <w:p>
      <w:pPr>
        <w:pStyle w:val="Heading1"/>
        <w:pBdr>
          <w:bottom w:val="single" w:sz="18" w:space="6" w:color="C46A2C"/>
        </w:pBdr>
      </w:pPr>
      <w:r>
        <w:t>Volver a elegir</w:t>
      </w:r>
    </w:p>
    <w:p>
      <w:pPr>
        <w:jc w:val="both"/>
      </w:pPr>
      <w:r>
        <w:rPr>
          <w:rFonts w:ascii="Liberation Serif" w:hAnsi="Liberation Serif"/>
          <w:sz w:val="22"/>
        </w:rPr>
        <w:t>La atención no se recupera con una aplicación nueva ni con una semana extraordinariamente disciplinada. Se recupera construyendo fronteras pequeñas que puedan sostenerse cuando la vida vuelve a complicarse. Un lugar único para capturar, unas pocas prioridades visibles, ventanas de comunicación, criterios explícitos y un cierre diario son piezas modestas. Juntas cambian la experiencia del trabajo.</w:t>
      </w:r>
    </w:p>
    <w:p>
      <w:pPr>
        <w:jc w:val="both"/>
      </w:pPr>
      <w:r>
        <w:rPr>
          <w:rFonts w:ascii="Liberation Serif" w:hAnsi="Liberation Serif"/>
          <w:sz w:val="22"/>
        </w:rPr>
        <w:t>La mejora más importante quizá no sea producir más, sino reconocer antes qué no merece producción. Cada no deliberado devuelve capacidad al sistema. Cada decisión cerrada libera memoria. Cada bloque protegido convierte una intención en algo tangible.</w:t>
      </w:r>
    </w:p>
    <w:p>
      <w:pPr>
        <w:jc w:val="both"/>
      </w:pPr>
      <w:r>
        <w:rPr>
          <w:rFonts w:ascii="Liberation Serif" w:hAnsi="Liberation Serif"/>
          <w:sz w:val="22"/>
        </w:rPr>
        <w:t>Si quieres empezar hoy, no cambies diez cosas. Elige una: crea una ventana limpia de cuarenta y cinco minutos, escribe el resultado que quieres obtener y protege ese intervalo. Mañana repite. Después, cuando esa estructura exista, añade el siguiente nivel.</w:t>
      </w:r>
    </w:p>
    <w:p>
      <w:pPr>
        <w:jc w:val="both"/>
      </w:pPr>
      <w:r>
        <w:rPr>
          <w:rFonts w:ascii="Liberation Serif" w:hAnsi="Liberation Serif"/>
          <w:sz w:val="22"/>
        </w:rPr>
        <w:t>Una vida con atención no es una vida lenta en todos sus momentos. Puede ser ambiciosa, tecnológica, compleja y rápida. La diferencia está en que la velocidad deja de ser automática. Hay momentos para acelerar y momentos para mirar. El criterio consiste en saber cuál es cuál.</w:t>
      </w:r>
    </w:p>
    <w:p>
      <w:pPr>
        <w:jc w:val="both"/>
      </w:pPr>
      <w:r>
        <w:rPr>
          <w:rFonts w:ascii="Liberation Serif" w:hAnsi="Liberation Serif"/>
          <w:b/>
          <w:sz w:val="22"/>
        </w:rPr>
        <w:t>La atención es la forma práctica de decir que algo importa.</w:t>
      </w:r>
      <w:r>
        <w:rPr>
          <w:rFonts w:ascii="Liberation Serif" w:hAnsi="Liberation Serif"/>
          <w:sz w:val="22"/>
        </w:rPr>
        <w:t xml:space="preserve"> Lo que recibe tu atención recibe una parte de tu vida. Diseñarla con cuidado no es una técnica de productividad; es una forma de elegir.</w:t>
      </w:r>
    </w:p>
    <w:p>
      <w:pPr>
        <w:spacing w:before="440"/>
        <w:jc w:val="center"/>
      </w:pPr>
      <w:r>
        <w:rPr>
          <w:rFonts w:ascii="Liberation Sans" w:hAnsi="Liberation Sans"/>
          <w:b/>
          <w:color w:val="AE5C2A"/>
          <w:sz w:val="18"/>
        </w:rPr>
        <w:t>FIN</w:t>
      </w:r>
    </w:p>
    <w:sectPr w:rsidR="00FC693F" w:rsidRPr="0006063C" w:rsidSect="00034616">
      <w:headerReference w:type="default" r:id="rId9"/>
      <w:footerReference w:type="default" r:id="rId10"/>
      <w:pgSz w:w="11906" w:h="16838"/>
      <w:pgMar w:top="1417" w:right="1701"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olor w:val="737373"/>
        <w:sz w:val="18"/>
      </w:rPr>
      <w:t xml:space="preserve">— </w:t>
    </w:r>
    <w:r>
      <w:rPr/>
      <w:fldChar w:fldCharType="begin"/>
      <w:instrText xml:space="preserve"> PAGE </w:instrText>
      <w:fldChar w:fldCharType="end"/>
    </w:r>
    <w:r>
      <w:rPr>
        <w:rFonts w:ascii="Liberation Serif" w:hAnsi="Liberation Serif"/>
        <w:color w:val="737373"/>
        <w:sz w:val="18"/>
      </w:rPr>
      <w:t xml:space="preserve"> —</w:t>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r>
        <w:footnoteRef/>
      </w:r>
      <w:r>
        <w:t> Herbert A. Simon, “Designing Organizations for an Information-Rich World”, 1971. Simon formuló la relación entre abundancia de información y escasez de atención.</w:t>
      </w:r>
    </w:p>
  </w:footnote>
  <w:footnote w:id="2">
    <w:p>
      <w:r>
        <w:footnoteRef/>
      </w:r>
      <w:r>
        <w:t> Daniel Kahneman, Thinking, Fast and Slow, Farrar, Straus and Giroux, 2011.</w:t>
      </w:r>
    </w:p>
  </w:footnote>
  <w:footnote w:id="3">
    <w:p>
      <w:r>
        <w:footnoteRef/>
      </w:r>
      <w:r>
        <w:t> Gloria Mark, Attention Span: A Groundbreaking Way to Restore Balance, Happiness and Productivity, Hanover Square Press, 2023.</w:t>
      </w:r>
    </w:p>
  </w:footnote>
  <w:footnote w:id="4">
    <w:p>
      <w:r>
        <w:footnoteRef/>
      </w:r>
      <w:r>
        <w:t> Cal Newport, Deep Work: Rules for Focused Success in a Distracted World, Grand Central Publishing, 2016.</w:t>
      </w:r>
    </w:p>
  </w:footnote>
  <w:footnote w:id="5">
    <w:p>
      <w:r>
        <w:footnoteRef/>
      </w:r>
      <w:r>
        <w:t> James Clear, Atomic Habits, Avery, 2018.</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Liberation Sans" w:hAnsi="Liberation Sans"/>
        <w:color w:val="737373"/>
        <w:sz w:val="15"/>
      </w:rPr>
      <w:t>LA ARQUITECTURA DE LA ATENCIÓN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Liberation Serif" w:hAnsi="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Liberation Serif" w:hAnsi="Liberation Serif"/>
      <w:b/>
      <w:bCs/>
      <w:color w:val="1C2738"/>
      <w:sz w:val="4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Liberation Serif" w:hAnsi="Liberation Serif"/>
      <w:b/>
      <w:bCs/>
      <w:color w:val="AE5C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erif" w:hAnsi="Liberation Serif"/>
      <w:b/>
      <w:bCs/>
      <w:color w:val="1C27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erif" w:hAnsi="Liberation Serif"/>
      <w:color w:val="1C2738"/>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erif" w:hAnsi="Liberation Serif"/>
      <w:i/>
      <w:iCs/>
      <w:color w:val="53575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orialKicker">
    <w:name w:val="Editorial Kicker"/>
    <w:pPr>
      <w:spacing w:after="100"/>
    </w:pPr>
    <w:rPr>
      <w:rFonts w:ascii="Liberation Sans" w:hAnsi="Liberation Sans"/>
      <w:b/>
      <w:color w:val="AE5C2A"/>
      <w:sz w:val="17"/>
    </w:rPr>
  </w:style>
  <w:style w:type="paragraph" w:customStyle="1" w:styleId="TOCEntry">
    <w:name w:val="TOC Entry"/>
    <w:pPr>
      <w:tabs>
        <w:tab w:pos="9071" w:val="right" w:leader="dot"/>
      </w:tabs>
      <w:spacing w:after="80"/>
    </w:pPr>
    <w:rPr>
      <w:rFonts w:ascii="Liberation Serif" w:hAnsi="Liberation Serif"/>
      <w:sz w:val="21"/>
    </w:rPr>
  </w:style>
  <w:style w:type="paragraph" w:customStyle="1" w:styleId="BlockQuote">
    <w:name w:val="Block Quote"/>
    <w:pPr>
      <w:spacing w:before="160" w:after="200"/>
      <w:ind w:left="397"/>
    </w:pPr>
    <w:rPr>
      <w:rFonts w:ascii="Liberation Serif" w:hAnsi="Liberation Serif"/>
      <w:i/>
      <w:color w:val="274562"/>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