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B854" w14:textId="77777777" w:rsidR="00085C05" w:rsidRDefault="00000000">
      <w:pPr>
        <w:pStyle w:val="Heading1"/>
      </w:pPr>
      <w:bookmarkStart w:id="0" w:name="X3ca8dff1604e86357d6cb0bb52f81937f4d9eac"/>
      <w:r>
        <w:t>Plan de mejora definitivo para Anclora Talent: hacia la herramienta nº 1 de creación de productos digitales</w:t>
      </w:r>
    </w:p>
    <w:p w14:paraId="5C155C5C" w14:textId="77777777" w:rsidR="00085C05" w:rsidRDefault="00000000">
      <w:pPr>
        <w:pStyle w:val="FirstParagraph"/>
      </w:pPr>
      <w:r>
        <w:rPr>
          <w:i/>
          <w:iCs/>
        </w:rPr>
        <w:t xml:space="preserve">Informe estratégico — 4 de agosto de 2026. Elaborado a partir del análisis del repositorio </w:t>
      </w:r>
      <w:r>
        <w:rPr>
          <w:rStyle w:val="VerbatimChar"/>
          <w:i/>
          <w:iCs/>
        </w:rPr>
        <w:t>ToniIAPro73/anclora-talent</w:t>
      </w:r>
      <w:r>
        <w:rPr>
          <w:i/>
          <w:iCs/>
        </w:rPr>
        <w:t>, del plan de mejora previo (Perplexity) y de una investigación de mercado multi-fuente (2025-2026).</w:t>
      </w:r>
    </w:p>
    <w:p w14:paraId="3A851A5A" w14:textId="77777777" w:rsidR="00085C05" w:rsidRDefault="00000000">
      <w:pPr>
        <w:pStyle w:val="Heading2"/>
      </w:pPr>
      <w:bookmarkStart w:id="1" w:name="executive-summary"/>
      <w:r>
        <w:t>Executive Summary</w:t>
      </w:r>
    </w:p>
    <w:p w14:paraId="1F50BBE0" w14:textId="77777777" w:rsidR="00085C05" w:rsidRDefault="00000000">
      <w:pPr>
        <w:pStyle w:val="FirstParagraph"/>
      </w:pPr>
      <w:r>
        <w:t>Anclora Talent es una webapp SaaS para crear productos digitales editoriales —ebooks, manuales, infoproductos— construida sobre un motor de composición declarativa propio. Su fundador encargó a Perplexity un plan de mejora para convertirla en la herramienta número uno de su categoría. Este informe audita ese plan contra el código real, rehace el benchmark competitivo de 2026 y entrega el plan definitivo. La conclusión central: Anclora no necesita construir su diferencial, necesita cobrarlo.</w:t>
      </w:r>
    </w:p>
    <w:p w14:paraId="7744374B" w14:textId="77777777" w:rsidR="00085C05" w:rsidRDefault="00000000">
      <w:pPr>
        <w:pStyle w:val="BodyText"/>
      </w:pPr>
      <w:r>
        <w:rPr>
          <w:b/>
          <w:bCs/>
        </w:rPr>
        <w:t>El plan de Perplexity propone construir lo que ya existe.</w:t>
      </w:r>
      <w:r>
        <w:t xml:space="preserve"> Su mayor activo —el motor de composición declarativa con índice 100% generado, reglas tipográficas con violaciones nunca silenciadas y recomposición incremental— ya está implementado y testado desde la FASE C del repositorio.</w:t>
      </w:r>
      <w:r>
        <w:rPr>
          <w:vertAlign w:val="superscript"/>
        </w:rPr>
        <w:footnoteReference w:id="1"/>
      </w:r>
      <w:r>
        <w:t xml:space="preserve"> Las Fases 0 y 1 de Perplexity describen ese motor con notable fidelidad: ejecutarlas consumiría dos trimestres en rehacer el activo más valioso de la compañía.</w:t>
      </w:r>
      <w:r>
        <w:rPr>
          <w:vertAlign w:val="superscript"/>
        </w:rPr>
        <w:footnoteReference w:id="2"/>
      </w:r>
      <w:r>
        <w:t xml:space="preserve"> </w:t>
      </w:r>
      <w:r>
        <w:fldChar w:fldCharType="begin"/>
      </w:r>
      <w:r>
        <w:instrText>NOTEREF _Ref_Footnote_1 \h \f</w:instrText>
      </w:r>
      <w:r>
        <w:fldChar w:fldCharType="separate"/>
      </w:r>
      <w:r>
        <w:t>1</w:t>
      </w:r>
      <w:r>
        <w:fldChar w:fldCharType="end"/>
      </w:r>
      <w:r>
        <w:t xml:space="preserve"> El plan definitivo re-basa el esfuerzo y adelanta unos seis meses el calendario.</w:t>
      </w:r>
    </w:p>
    <w:p w14:paraId="0F0A3DEC" w14:textId="77777777" w:rsidR="00085C05" w:rsidRDefault="00000000">
      <w:pPr>
        <w:pStyle w:val="BodyText"/>
      </w:pPr>
      <w:r>
        <w:rPr>
          <w:b/>
          <w:bCs/>
        </w:rPr>
        <w:t>El mercado valida el dolor, con dólares ya pagados.</w:t>
      </w:r>
      <w:r>
        <w:t xml:space="preserve"> En 2025 se registraron 3,53 millones de ISBN autopublicados en EE. UU., un +38,7% interanual que supera a la editorial tradicional más de 5 a 1.</w:t>
      </w:r>
      <w:r>
        <w:rPr>
          <w:vertAlign w:val="superscript"/>
        </w:rPr>
        <w:footnoteReference w:id="3"/>
      </w:r>
      <w:r>
        <w:t xml:space="preserve"> </w:t>
      </w:r>
      <w:r>
        <w:rPr>
          <w:vertAlign w:val="superscript"/>
        </w:rPr>
        <w:footnoteReference w:id="4"/>
      </w:r>
      <w:r>
        <w:t xml:space="preserve"> Maquetación, índices rotos y revisiones que rompen el maquetado son los tres dolores dominantes del sector</w:t>
      </w:r>
      <w:r>
        <w:rPr>
          <w:vertAlign w:val="superscript"/>
        </w:rPr>
        <w:footnoteReference w:id="5"/>
      </w:r>
      <w:r>
        <w:t>, y el mercado ya paga $475-1.275 por libro a formateadores humanos para hacerlos desaparecer.</w:t>
      </w:r>
      <w:r>
        <w:rPr>
          <w:vertAlign w:val="superscript"/>
        </w:rPr>
        <w:footnoteReference w:id="6"/>
      </w:r>
      <w:r>
        <w:t xml:space="preserve"> </w:t>
      </w:r>
      <w:r>
        <w:rPr>
          <w:vertAlign w:val="superscript"/>
        </w:rPr>
        <w:footnoteReference w:id="7"/>
      </w:r>
      <w:r>
        <w:t xml:space="preserve"> Ningún competidor integra autoría, composición gobernada, IA y distribución: los clásicos (Atticus, Vellum, Scrivener) no tienen IA; los generadores IA no tienen gobernanza; las plataformas no crean.</w:t>
      </w:r>
    </w:p>
    <w:p w14:paraId="16F63C03" w14:textId="77777777" w:rsidR="00085C05" w:rsidRDefault="00000000">
      <w:pPr>
        <w:pStyle w:val="BodyText"/>
      </w:pPr>
      <w:r>
        <w:rPr>
          <w:b/>
          <w:bCs/>
        </w:rPr>
        <w:lastRenderedPageBreak/>
        <w:t>El plan definitivo se ejecuta en cinco fases.</w:t>
      </w:r>
      <w:r>
        <w:t xml:space="preserve"> F0 productiza el motor (onboarding, presets narrados, panel de salud como argumento de venta); F1 entrega EPUB validado con pre-flight por canal, el ticket de entrada a KDP; F2 amplía el libro a producto digital compuesto con plantillas y multi-formato; F3 despliega IA gobernada sobre el motor —agentes con diffs y disclosure de KDP automático—; F4 escala a distribución y ecosistema.</w:t>
      </w:r>
    </w:p>
    <w:p w14:paraId="7F68F82F" w14:textId="77777777" w:rsidR="00085C05" w:rsidRDefault="00000000">
      <w:pPr>
        <w:pStyle w:val="BodyText"/>
      </w:pPr>
      <w:r>
        <w:rPr>
          <w:b/>
          <w:bCs/>
        </w:rPr>
        <w:t>La ventana es de unos doce meses.</w:t>
      </w:r>
      <w:r>
        <w:t xml:space="preserve"> Gartner proyecta que el 40% de las aplicaciones empresariales incorporará agentes IA en 2026: la amenaza no es que alguien escriba mejor, sino que un end-to-end barato añada gobernanza editorial antes de que Anclora ocupe ese espacio.</w:t>
      </w:r>
      <w:r>
        <w:rPr>
          <w:vertAlign w:val="superscript"/>
        </w:rPr>
        <w:footnoteReference w:id="8"/>
      </w:r>
      <w:r>
        <w:t xml:space="preserve"> El desembarco se hace por el mercado hispanohablante —más de 600 millones de hablantes, sin líder consolidado y con monetización madura vía Hotmart</w:t>
      </w:r>
      <w:r>
        <w:rPr>
          <w:vertAlign w:val="superscript"/>
        </w:rPr>
        <w:footnoteReference w:id="9"/>
      </w:r>
      <w:r>
        <w:t>—, donde Anclora ya es bilingüe de fábrica.</w:t>
      </w:r>
      <w:r>
        <w:rPr>
          <w:vertAlign w:val="superscript"/>
        </w:rPr>
        <w:footnoteReference w:id="10"/>
      </w:r>
      <w:r>
        <w:t xml:space="preserve"> </w:t>
      </w:r>
      <w:r>
        <w:fldChar w:fldCharType="begin"/>
      </w:r>
      <w:r>
        <w:instrText>NOTEREF _Ref_Footnote_1 \h \f</w:instrText>
      </w:r>
      <w:r>
        <w:fldChar w:fldCharType="separate"/>
      </w:r>
      <w:r>
        <w:t>1</w:t>
      </w:r>
      <w:r>
        <w:fldChar w:fldCharType="end"/>
      </w:r>
    </w:p>
    <w:p w14:paraId="79060CA5" w14:textId="77777777" w:rsidR="00085C05" w:rsidRDefault="00000000">
      <w:pPr>
        <w:pStyle w:val="BodyText"/>
      </w:pPr>
      <w:r>
        <w:rPr>
          <w:b/>
          <w:bCs/>
        </w:rPr>
        <w:t>Tres acciones en los próximos 30 días.</w:t>
      </w:r>
      <w:r>
        <w:t xml:space="preserve"> Primera: arrancar la Fase 0 con la demo como centro —onboarding del “momento nunca-más”, telemetría del presupuesto &lt;300 ms y landing reescrita alrededor del vídeo de recomposición en vivo—, porque esa pieza es a la vez producto, marketing y filtro de clientes.</w:t>
      </w:r>
      <w:r>
        <w:fldChar w:fldCharType="begin"/>
      </w:r>
      <w:r>
        <w:instrText>NOTEREF _Ref_Footnote_1 \h \f</w:instrText>
      </w:r>
      <w:r>
        <w:fldChar w:fldCharType="separate"/>
      </w:r>
      <w:r>
        <w:t>1</w:t>
      </w:r>
      <w:r>
        <w:fldChar w:fldCharType="end"/>
      </w:r>
      <w:r>
        <w:t xml:space="preserve"> Segunda: congelar el modelo freemium con Pro a $97/año y abrir una beta cerrada con 20-30 infoproductores hispanohablantes reclutados en el ecosistema Hotmart/Gumroad.</w:t>
      </w:r>
      <w:r>
        <w:rPr>
          <w:vertAlign w:val="superscript"/>
        </w:rPr>
        <w:footnoteReference w:id="11"/>
      </w:r>
      <w:r>
        <w:t xml:space="preserve"> </w:t>
      </w:r>
      <w:r>
        <w:fldChar w:fldCharType="begin"/>
      </w:r>
      <w:r>
        <w:instrText>NOTEREF _Ref_Footnote_9 \h \f</w:instrText>
      </w:r>
      <w:r>
        <w:fldChar w:fldCharType="separate"/>
      </w:r>
      <w:r>
        <w:t>9</w:t>
      </w:r>
      <w:r>
        <w:fldChar w:fldCharType="end"/>
      </w:r>
      <w:r>
        <w:t xml:space="preserve"> Tercera: iniciar el writer EPUB con EPUBCheck en CI en cuanto la Fase 0 libere desarrollo, porque la elegibilidad en el canal dominante es el único hito binario del plan.</w:t>
      </w:r>
      <w:r>
        <w:rPr>
          <w:vertAlign w:val="superscript"/>
        </w:rPr>
        <w:footnoteReference w:id="12"/>
      </w:r>
      <w:r>
        <w:t xml:space="preserve"> </w:t>
      </w:r>
      <w:r>
        <w:rPr>
          <w:vertAlign w:val="superscript"/>
        </w:rPr>
        <w:footnoteReference w:id="13"/>
      </w:r>
    </w:p>
    <w:p w14:paraId="78201398" w14:textId="77777777" w:rsidR="00085C05" w:rsidRDefault="00000000">
      <w:pPr>
        <w:pStyle w:val="Heading2"/>
      </w:pPr>
      <w:bookmarkStart w:id="15" w:name="X436bf68ca52a624d2657a5d837190355d9e9c05"/>
      <w:bookmarkEnd w:id="1"/>
      <w:r>
        <w:t>1. Estado actual de Anclora Talent y evaluación del plan de Perplexity</w:t>
      </w:r>
    </w:p>
    <w:p w14:paraId="019C9F97" w14:textId="77777777" w:rsidR="00085C05" w:rsidRDefault="00000000">
      <w:pPr>
        <w:pStyle w:val="FirstParagraph"/>
      </w:pPr>
      <w:r>
        <w:t>La conclusión de este capítulo es directa: Anclora Talent no es un proyecto que necesite construir su diferencial, sino uno que ya lo construyó y aún no lo ha convertido en ventaja de mercado. El dolor que motivó al fundador a pedir un plan de mejora —la incoherencia entre contenido, índice y paginación— está resuelto a nivel de motor desde la FASE C del repositorio, con índice 100% generado, reglas declarativas y recomposición incremental testada.</w:t>
      </w:r>
      <w:r>
        <w:fldChar w:fldCharType="begin"/>
      </w:r>
      <w:r>
        <w:instrText>NOTEREF _Ref_Footnote_1 \h \f</w:instrText>
      </w:r>
      <w:r>
        <w:fldChar w:fldCharType="separate"/>
      </w:r>
      <w:r>
        <w:t>1</w:t>
      </w:r>
      <w:r>
        <w:fldChar w:fldCharType="end"/>
      </w:r>
      <w:r>
        <w:t xml:space="preserve"> El plan de Perplexity, conceptualmente acertado, analizó una versión del producto que ya no existe: propone como Fases 0 y 1 (dos trimestres de roadmap) precisamente lo que el código ya contiene.</w:t>
      </w:r>
      <w:r>
        <w:fldChar w:fldCharType="begin"/>
      </w:r>
      <w:r>
        <w:instrText>NOTEREF _Ref_Footnote_2 \h \f</w:instrText>
      </w:r>
      <w:r>
        <w:fldChar w:fldCharType="separate"/>
      </w:r>
      <w:r>
        <w:t>2</w:t>
      </w:r>
      <w:r>
        <w:fldChar w:fldCharType="end"/>
      </w:r>
      <w:r>
        <w:t xml:space="preserve"> </w:t>
      </w:r>
      <w:r>
        <w:fldChar w:fldCharType="begin"/>
      </w:r>
      <w:r>
        <w:instrText>NOTEREF _Ref_Footnote_1 \h \f</w:instrText>
      </w:r>
      <w:r>
        <w:fldChar w:fldCharType="separate"/>
      </w:r>
      <w:r>
        <w:t>1</w:t>
      </w:r>
      <w:r>
        <w:fldChar w:fldCharType="end"/>
      </w:r>
      <w:r>
        <w:t xml:space="preserve"> La pregunta estratégica, por tanto, ya no es de ingeniería sino de producto y mercado, y es la que articula los capítulos siguientes.</w:t>
      </w:r>
    </w:p>
    <w:p w14:paraId="70A31096" w14:textId="77777777" w:rsidR="00085C05" w:rsidRDefault="00000000">
      <w:pPr>
        <w:pStyle w:val="Heading3"/>
      </w:pPr>
      <w:bookmarkStart w:id="16" w:name="Xe433dc2b18202a618adcacdbad1b431ddad893c"/>
      <w:r>
        <w:lastRenderedPageBreak/>
        <w:t>1.1 Arquitectura y capacidades reales del producto a agosto de 2026</w:t>
      </w:r>
    </w:p>
    <w:p w14:paraId="3AC03531" w14:textId="77777777" w:rsidR="00085C05" w:rsidRDefault="00000000">
      <w:pPr>
        <w:pStyle w:val="Heading4"/>
      </w:pPr>
      <w:bookmarkStart w:id="17" w:name="X3a62edb8af40459c2249c004d1aefbc5f84a451"/>
      <w:r>
        <w:t>1.1.1 Plataforma: base SaaS sólida y disciplina de ingeniería poco común en este mercado</w:t>
      </w:r>
    </w:p>
    <w:p w14:paraId="7AC570FD" w14:textId="77777777" w:rsidR="00085C05" w:rsidRDefault="00000000">
      <w:pPr>
        <w:pStyle w:val="FirstParagraph"/>
      </w:pPr>
      <w:r>
        <w:t>Anclora Talent es hoy una aplicación Next.js con App Router, TypeScript estricto y React, migrada desde Vite, con autenticación propia (email con bcrypt, sesiones opacas y OAuth Google/GitHub con PKCE implementado a medida tras eliminar Clerk en la “Fase A”), persistencia en Neon Postgres vía Drizzle ORM, almacenamiento de binarios en Vercel Blob y despliegue en Vercel.</w:t>
      </w:r>
      <w:r>
        <w:fldChar w:fldCharType="begin"/>
      </w:r>
      <w:r>
        <w:instrText>NOTEREF _Ref_Footnote_1 \h \f</w:instrText>
      </w:r>
      <w:r>
        <w:fldChar w:fldCharType="separate"/>
      </w:r>
      <w:r>
        <w:t>1</w:t>
      </w:r>
      <w:r>
        <w:fldChar w:fldCharType="end"/>
      </w:r>
      <w:r>
        <w:t xml:space="preserve"> El flujo de ramas </w:t>
      </w:r>
      <w:r>
        <w:rPr>
          <w:rStyle w:val="VerbatimChar"/>
        </w:rPr>
        <w:t>development → staging → production → main</w:t>
      </w:r>
      <w:r>
        <w:t xml:space="preserve"> con promoción automatizada mediante workflows, más una suite de aproximadamente 483 tests unitarios en verde (Vitest) y tests end-to-end con Playwright sobre auth, composition-engine, cover-studio y landing, configura una disciplina de CI que la mayoría de competidores pequeños del sector no tiene.</w:t>
      </w:r>
      <w:r>
        <w:fldChar w:fldCharType="begin"/>
      </w:r>
      <w:r>
        <w:instrText>NOTEREF _Ref_Footnote_1 \h \f</w:instrText>
      </w:r>
      <w:r>
        <w:fldChar w:fldCharType="separate"/>
      </w:r>
      <w:r>
        <w:t>1</w:t>
      </w:r>
      <w:r>
        <w:fldChar w:fldCharType="end"/>
      </w:r>
    </w:p>
    <w:p w14:paraId="038C9219" w14:textId="77777777" w:rsidR="00085C05" w:rsidRDefault="00000000">
      <w:pPr>
        <w:pStyle w:val="BodyText"/>
      </w:pPr>
      <w:r>
        <w:t>Dos decisiones estructurales pesan más que cualquier componente individual. La primera es la regla arquitectónica nuclear del repositorio: un único modelo canónico de proyecto/documento compartido por creación, edición, preview, portada y exportación, de modo que ninguna pantalla mantiene representaciones paralelas del contenido.</w:t>
      </w:r>
      <w:r>
        <w:fldChar w:fldCharType="begin"/>
      </w:r>
      <w:r>
        <w:instrText>NOTEREF _Ref_Footnote_1 \h \f</w:instrText>
      </w:r>
      <w:r>
        <w:fldChar w:fldCharType="separate"/>
      </w:r>
      <w:r>
        <w:t>1</w:t>
      </w:r>
      <w:r>
        <w:fldChar w:fldCharType="end"/>
      </w:r>
      <w:r>
        <w:t xml:space="preserve"> La segunda es la disciplina de desarrollo orientado a especificaciones (SDD): la carpeta </w:t>
      </w:r>
      <w:r>
        <w:rPr>
          <w:rStyle w:val="VerbatimChar"/>
        </w:rPr>
        <w:t>sdd/</w:t>
      </w:r>
      <w:r>
        <w:t xml:space="preserve"> mantiene arquitectura, modelo de datos, producto, roadmap y specs por feature, incluido un documento </w:t>
      </w:r>
      <w:r>
        <w:rPr>
          <w:rStyle w:val="VerbatimChar"/>
        </w:rPr>
        <w:t>sdd/composition-engine.md</w:t>
      </w:r>
      <w:r>
        <w:t xml:space="preserve"> que describe el motor con precisión de ADR.</w:t>
      </w:r>
      <w:r>
        <w:fldChar w:fldCharType="begin"/>
      </w:r>
      <w:r>
        <w:instrText>NOTEREF _Ref_Footnote_1 \h \f</w:instrText>
      </w:r>
      <w:r>
        <w:fldChar w:fldCharType="separate"/>
      </w:r>
      <w:r>
        <w:t>1</w:t>
      </w:r>
      <w:r>
        <w:fldChar w:fldCharType="end"/>
      </w:r>
      <w:r>
        <w:t xml:space="preserve"> Esto importa estratégicamente por una razón: reduce el coste marginal de cada nueva capacidad y hace que el plan definitivo pueda apoyarse en fundaciones reales en lugar de refactors.</w:t>
      </w:r>
    </w:p>
    <w:p w14:paraId="42CD8A0C" w14:textId="77777777" w:rsidR="00085C05" w:rsidRDefault="00000000">
      <w:pPr>
        <w:pStyle w:val="Heading4"/>
      </w:pPr>
      <w:bookmarkStart w:id="18" w:name="Xed53522b7d6014de178014d17506f7a06c918be"/>
      <w:bookmarkEnd w:id="17"/>
      <w:r>
        <w:t>1.1.2 El motor de composición (FASE C): el diferencial ya implementado</w:t>
      </w:r>
    </w:p>
    <w:p w14:paraId="6235B457" w14:textId="77777777" w:rsidR="00085C05" w:rsidRDefault="00000000">
      <w:pPr>
        <w:pStyle w:val="FirstParagraph"/>
      </w:pPr>
      <w:r>
        <w:t xml:space="preserve">El activo central del producto es el motor de composición descrito en </w:t>
      </w:r>
      <w:r>
        <w:rPr>
          <w:rStyle w:val="VerbatimChar"/>
        </w:rPr>
        <w:t>sdd/composition-engine.md</w:t>
      </w:r>
      <w:r>
        <w:t xml:space="preserve"> y materializado en </w:t>
      </w:r>
      <w:r>
        <w:rPr>
          <w:rStyle w:val="VerbatimChar"/>
        </w:rPr>
        <w:t>src/lib/document/</w:t>
      </w:r>
      <w:r>
        <w:t xml:space="preserve"> y </w:t>
      </w:r>
      <w:r>
        <w:rPr>
          <w:rStyle w:val="VerbatimChar"/>
        </w:rPr>
        <w:t>src/lib/compose/</w:t>
      </w:r>
      <w:r>
        <w:t>.</w:t>
      </w:r>
      <w:r>
        <w:fldChar w:fldCharType="begin"/>
      </w:r>
      <w:r>
        <w:instrText>NOTEREF _Ref_Footnote_1 \h \f</w:instrText>
      </w:r>
      <w:r>
        <w:fldChar w:fldCharType="separate"/>
      </w:r>
      <w:r>
        <w:t>1</w:t>
      </w:r>
      <w:r>
        <w:fldChar w:fldCharType="end"/>
      </w:r>
      <w:r>
        <w:t xml:space="preserve"> Su principio rector está formulado en el propio spec: el documento nunca se “pagina”, se compone; la paginación es una proyección derivada y determinista de contenido + reglas + plantilla, y preview y exportación consumen la misma salida del motor.</w:t>
      </w:r>
      <w:r>
        <w:fldChar w:fldCharType="begin"/>
      </w:r>
      <w:r>
        <w:instrText>NOTEREF _Ref_Footnote_1 \h \f</w:instrText>
      </w:r>
      <w:r>
        <w:fldChar w:fldCharType="separate"/>
      </w:r>
      <w:r>
        <w:t>1</w:t>
      </w:r>
      <w:r>
        <w:fldChar w:fldCharType="end"/>
      </w:r>
    </w:p>
    <w:p w14:paraId="41546079" w14:textId="77777777" w:rsidR="00085C05" w:rsidRDefault="00000000">
      <w:pPr>
        <w:pStyle w:val="BodyText"/>
      </w:pPr>
      <w:r>
        <w:t>Las piezas concretas, todas implementadas y testadas, son las siguientes. Un modelo semántico de documento (AST de bloques: encabezados, párrafos, listas, tablas, imágenes, citas, callouts, código y saltos de página) con tokens de referencia cruzada vivos (</w:t>
      </w:r>
      <w:r>
        <w:rPr>
          <w:rStyle w:val="VerbatimChar"/>
        </w:rPr>
        <w:t>ref</w:t>
      </w:r>
      <w:r>
        <w:t xml:space="preserve"> a capítulo/figura/tabla) que el compositor materializa como números y que nunca se almacenan como texto plano.</w:t>
      </w:r>
      <w:r>
        <w:fldChar w:fldCharType="begin"/>
      </w:r>
      <w:r>
        <w:instrText>NOTEREF _Ref_Footnote_1 \h \f</w:instrText>
      </w:r>
      <w:r>
        <w:fldChar w:fldCharType="separate"/>
      </w:r>
      <w:r>
        <w:t>1</w:t>
      </w:r>
      <w:r>
        <w:fldChar w:fldCharType="end"/>
      </w:r>
      <w:r>
        <w:t xml:space="preserve"> Un compositor puro y determinista, </w:t>
      </w:r>
      <w:r>
        <w:rPr>
          <w:rStyle w:val="VerbatimChar"/>
        </w:rPr>
        <w:t>compose(document, rules, template, measurer)</w:t>
      </w:r>
      <w:r>
        <w:t>, con medición tipográfica real en cliente vía canvas y equivalente determinista en servidor.</w:t>
      </w:r>
      <w:r>
        <w:fldChar w:fldCharType="begin"/>
      </w:r>
      <w:r>
        <w:instrText>NOTEREF _Ref_Footnote_1 \h \f</w:instrText>
      </w:r>
      <w:r>
        <w:fldChar w:fldCharType="separate"/>
      </w:r>
      <w:r>
        <w:t>1</w:t>
      </w:r>
      <w:r>
        <w:fldChar w:fldCharType="end"/>
      </w:r>
      <w:r>
        <w:t xml:space="preserve"> Un índice (TOC) que se regenera al 100% en cada ejecución a partir de la estructura de encabezados y que no es editable manualmente —la respuesta exacta al dolor del fundador.</w:t>
      </w:r>
      <w:r>
        <w:fldChar w:fldCharType="begin"/>
      </w:r>
      <w:r>
        <w:instrText>NOTEREF _Ref_Footnote_1 \h \f</w:instrText>
      </w:r>
      <w:r>
        <w:fldChar w:fldCharType="separate"/>
      </w:r>
      <w:r>
        <w:t>1</w:t>
      </w:r>
      <w:r>
        <w:fldChar w:fldCharType="end"/>
      </w:r>
      <w:r>
        <w:t xml:space="preserve"> Un conjunto de reglas declarativas en JSON (</w:t>
      </w:r>
      <w:r>
        <w:rPr>
          <w:rStyle w:val="VerbatimChar"/>
        </w:rPr>
        <w:t>DocumentRules</w:t>
      </w:r>
      <w:r>
        <w:t>: keepTogether, keepWithNext, viudas/huérfanas, capítulo en página impar, numeración de figuras y tablas) con tabla explícita de prioridades y una garantía inusual: cuando una regla es imposible de cumplir, el sistema emite una violación en lugar de silenciarla.</w:t>
      </w:r>
      <w:r>
        <w:fldChar w:fldCharType="begin"/>
      </w:r>
      <w:r>
        <w:instrText>NOTEREF _Ref_Footnote_1 \h \f</w:instrText>
      </w:r>
      <w:r>
        <w:fldChar w:fldCharType="separate"/>
      </w:r>
      <w:r>
        <w:t>1</w:t>
      </w:r>
      <w:r>
        <w:fldChar w:fldCharType="end"/>
      </w:r>
      <w:r>
        <w:t xml:space="preserve"> Recomposición </w:t>
      </w:r>
      <w:r>
        <w:lastRenderedPageBreak/>
        <w:t>incremental que reutiliza las páginas de capítulos no afectados, con invariante testado de equivalencia exacta con la composición completa y un presupuesto de preview inferior a 300 ms.</w:t>
      </w:r>
      <w:r>
        <w:fldChar w:fldCharType="begin"/>
      </w:r>
      <w:r>
        <w:instrText>NOTEREF _Ref_Footnote_1 \h \f</w:instrText>
      </w:r>
      <w:r>
        <w:fldChar w:fldCharType="separate"/>
      </w:r>
      <w:r>
        <w:t>1</w:t>
      </w:r>
      <w:r>
        <w:fldChar w:fldCharType="end"/>
      </w:r>
      <w:r>
        <w:t xml:space="preserve"> Y el circuito de gobernanza que lo hace visible: las violaciones alimentan el </w:t>
      </w:r>
      <w:r>
        <w:rPr>
          <w:rStyle w:val="VerbatimChar"/>
        </w:rPr>
        <w:t>DocumentHealthPanel</w:t>
      </w:r>
      <w:r>
        <w:t xml:space="preserve"> con contador permanente, y un export gate configurable por proyecto (</w:t>
      </w:r>
      <w:r>
        <w:rPr>
          <w:rStyle w:val="VerbatimChar"/>
        </w:rPr>
        <w:t>off/warn/block</w:t>
      </w:r>
      <w:r>
        <w:t xml:space="preserve">, por defecto </w:t>
      </w:r>
      <w:r>
        <w:rPr>
          <w:rStyle w:val="VerbatimChar"/>
        </w:rPr>
        <w:t>warn</w:t>
      </w:r>
      <w:r>
        <w:t>) puede llegar a bloquear la exportación de un documento que incumple sus propias reglas.</w:t>
      </w:r>
      <w:r>
        <w:fldChar w:fldCharType="begin"/>
      </w:r>
      <w:r>
        <w:instrText>NOTEREF _Ref_Footnote_1 \h \f</w:instrText>
      </w:r>
      <w:r>
        <w:fldChar w:fldCharType="separate"/>
      </w:r>
      <w:r>
        <w:t>1</w:t>
      </w:r>
      <w:r>
        <w:fldChar w:fldCharType="end"/>
      </w:r>
    </w:p>
    <w:p w14:paraId="5D05C6E4" w14:textId="77777777" w:rsidR="00085C05" w:rsidRDefault="00000000">
      <w:pPr>
        <w:pStyle w:val="BodyText"/>
      </w:pPr>
      <w:r>
        <w:t>La tabla 1 resume el estado real de las capacidades del repositorio a 3-4 de agosto de 2026.</w:t>
      </w:r>
    </w:p>
    <w:p w14:paraId="41ABF6DD" w14:textId="77777777" w:rsidR="00085C05" w:rsidRDefault="00000000">
      <w:pPr>
        <w:pStyle w:val="BodyText"/>
      </w:pPr>
      <w:r>
        <w:rPr>
          <w:b/>
          <w:bCs/>
        </w:rPr>
        <w:t>Tabla 1. Capacidades del repositorio Anclora Talent a agosto de 2026</w:t>
      </w:r>
    </w:p>
    <w:tbl>
      <w:tblPr>
        <w:tblStyle w:val="Table"/>
        <w:tblW w:w="5000" w:type="pct"/>
        <w:tblLook w:val="0020" w:firstRow="1" w:lastRow="0" w:firstColumn="0" w:lastColumn="0" w:noHBand="0" w:noVBand="0"/>
      </w:tblPr>
      <w:tblGrid>
        <w:gridCol w:w="1394"/>
        <w:gridCol w:w="2688"/>
        <w:gridCol w:w="3334"/>
        <w:gridCol w:w="1638"/>
      </w:tblGrid>
      <w:tr w:rsidR="00085C05" w14:paraId="0FA03DF8"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7D2A548C" w14:textId="77777777" w:rsidR="00085C05" w:rsidRDefault="00000000">
            <w:pPr>
              <w:pStyle w:val="Compact"/>
            </w:pPr>
            <w:r>
              <w:t>Área</w:t>
            </w:r>
          </w:p>
        </w:tc>
        <w:tc>
          <w:tcPr>
            <w:tcW w:w="0" w:type="auto"/>
          </w:tcPr>
          <w:p w14:paraId="5BFA7E03" w14:textId="77777777" w:rsidR="00085C05" w:rsidRDefault="00000000">
            <w:pPr>
              <w:pStyle w:val="Compact"/>
            </w:pPr>
            <w:r>
              <w:t>Capacidad</w:t>
            </w:r>
          </w:p>
        </w:tc>
        <w:tc>
          <w:tcPr>
            <w:tcW w:w="0" w:type="auto"/>
          </w:tcPr>
          <w:p w14:paraId="33C11C5F" w14:textId="77777777" w:rsidR="00085C05" w:rsidRDefault="00000000">
            <w:pPr>
              <w:pStyle w:val="Compact"/>
            </w:pPr>
            <w:r>
              <w:t>Evidencia en el repo</w:t>
            </w:r>
          </w:p>
        </w:tc>
        <w:tc>
          <w:tcPr>
            <w:tcW w:w="0" w:type="auto"/>
          </w:tcPr>
          <w:p w14:paraId="126A35D7" w14:textId="77777777" w:rsidR="00085C05" w:rsidRDefault="00000000">
            <w:pPr>
              <w:pStyle w:val="Compact"/>
            </w:pPr>
            <w:r>
              <w:t>Madurez</w:t>
            </w:r>
          </w:p>
        </w:tc>
      </w:tr>
      <w:tr w:rsidR="00085C05" w14:paraId="34554951" w14:textId="77777777">
        <w:tc>
          <w:tcPr>
            <w:tcW w:w="0" w:type="auto"/>
          </w:tcPr>
          <w:p w14:paraId="117603CD" w14:textId="77777777" w:rsidR="00085C05" w:rsidRDefault="00000000">
            <w:pPr>
              <w:pStyle w:val="Compact"/>
            </w:pPr>
            <w:r>
              <w:t>Plataforma</w:t>
            </w:r>
          </w:p>
        </w:tc>
        <w:tc>
          <w:tcPr>
            <w:tcW w:w="0" w:type="auto"/>
          </w:tcPr>
          <w:p w14:paraId="777C857E" w14:textId="77777777" w:rsidR="00085C05" w:rsidRDefault="00000000">
            <w:pPr>
              <w:pStyle w:val="Compact"/>
            </w:pPr>
            <w:r>
              <w:t>Next.js App Router, auth propia, Neon+Drizzle, Vercel Blob, pipeline dev→staging→prod→main</w:t>
            </w:r>
          </w:p>
        </w:tc>
        <w:tc>
          <w:tcPr>
            <w:tcW w:w="0" w:type="auto"/>
          </w:tcPr>
          <w:p w14:paraId="7F1A318C" w14:textId="77777777" w:rsidR="00085C05" w:rsidRDefault="00000000">
            <w:pPr>
              <w:pStyle w:val="Compact"/>
            </w:pPr>
            <w:r>
              <w:rPr>
                <w:rStyle w:val="VerbatimChar"/>
              </w:rPr>
              <w:t>package.json</w:t>
            </w:r>
            <w:r>
              <w:t>, workflows, commits de promoción</w:t>
            </w:r>
          </w:p>
        </w:tc>
        <w:tc>
          <w:tcPr>
            <w:tcW w:w="0" w:type="auto"/>
          </w:tcPr>
          <w:p w14:paraId="2AEBD4F3" w14:textId="77777777" w:rsidR="00085C05" w:rsidRDefault="00000000">
            <w:pPr>
              <w:pStyle w:val="Compact"/>
            </w:pPr>
            <w:r>
              <w:t>Producción</w:t>
            </w:r>
          </w:p>
        </w:tc>
      </w:tr>
      <w:tr w:rsidR="00085C05" w14:paraId="1A0DEF49" w14:textId="77777777">
        <w:tc>
          <w:tcPr>
            <w:tcW w:w="0" w:type="auto"/>
          </w:tcPr>
          <w:p w14:paraId="46EA7680" w14:textId="77777777" w:rsidR="00085C05" w:rsidRDefault="00000000">
            <w:pPr>
              <w:pStyle w:val="Compact"/>
            </w:pPr>
            <w:r>
              <w:t>Motor de composición</w:t>
            </w:r>
          </w:p>
        </w:tc>
        <w:tc>
          <w:tcPr>
            <w:tcW w:w="0" w:type="auto"/>
          </w:tcPr>
          <w:p w14:paraId="2BD0F0AE" w14:textId="77777777" w:rsidR="00085C05" w:rsidRDefault="00000000">
            <w:pPr>
              <w:pStyle w:val="Compact"/>
            </w:pPr>
            <w:r>
              <w:t>AST semántico, compositor puro, TOC 100% generado, refs vivas, reglas declarativas, recomposición incremental</w:t>
            </w:r>
          </w:p>
        </w:tc>
        <w:tc>
          <w:tcPr>
            <w:tcW w:w="0" w:type="auto"/>
          </w:tcPr>
          <w:p w14:paraId="09AE176F" w14:textId="77777777" w:rsidR="00085C05" w:rsidRDefault="00000000">
            <w:pPr>
              <w:pStyle w:val="Compact"/>
            </w:pPr>
            <w:r>
              <w:rPr>
                <w:rStyle w:val="VerbatimChar"/>
              </w:rPr>
              <w:t>src/lib/document/</w:t>
            </w:r>
            <w:r>
              <w:t xml:space="preserve">, </w:t>
            </w:r>
            <w:r>
              <w:rPr>
                <w:rStyle w:val="VerbatimChar"/>
              </w:rPr>
              <w:t>src/lib/compose/</w:t>
            </w:r>
            <w:r>
              <w:t xml:space="preserve">, </w:t>
            </w:r>
            <w:r>
              <w:rPr>
                <w:rStyle w:val="VerbatimChar"/>
              </w:rPr>
              <w:t>sdd/composition-engine.md</w:t>
            </w:r>
          </w:p>
        </w:tc>
        <w:tc>
          <w:tcPr>
            <w:tcW w:w="0" w:type="auto"/>
          </w:tcPr>
          <w:p w14:paraId="76C5B717" w14:textId="77777777" w:rsidR="00085C05" w:rsidRDefault="00000000">
            <w:pPr>
              <w:pStyle w:val="Compact"/>
            </w:pPr>
            <w:r>
              <w:t>Implementado y testado</w:t>
            </w:r>
          </w:p>
        </w:tc>
      </w:tr>
      <w:tr w:rsidR="00085C05" w14:paraId="0B5997FB" w14:textId="77777777">
        <w:tc>
          <w:tcPr>
            <w:tcW w:w="0" w:type="auto"/>
          </w:tcPr>
          <w:p w14:paraId="23A175CC" w14:textId="77777777" w:rsidR="00085C05" w:rsidRDefault="00000000">
            <w:pPr>
              <w:pStyle w:val="Compact"/>
            </w:pPr>
            <w:r>
              <w:t>Gobernanza documental</w:t>
            </w:r>
          </w:p>
        </w:tc>
        <w:tc>
          <w:tcPr>
            <w:tcW w:w="0" w:type="auto"/>
          </w:tcPr>
          <w:p w14:paraId="0430E862" w14:textId="77777777" w:rsidR="00085C05" w:rsidRDefault="00000000">
            <w:pPr>
              <w:pStyle w:val="Compact"/>
            </w:pPr>
            <w:r>
              <w:t xml:space="preserve">Violaciones con prioridades, </w:t>
            </w:r>
            <w:r>
              <w:rPr>
                <w:rStyle w:val="VerbatimChar"/>
              </w:rPr>
              <w:t>DocumentHealthPanel</w:t>
            </w:r>
            <w:r>
              <w:t xml:space="preserve">, </w:t>
            </w:r>
            <w:r>
              <w:rPr>
                <w:rStyle w:val="VerbatimChar"/>
              </w:rPr>
              <w:t>DocumentRulesPanel</w:t>
            </w:r>
            <w:r>
              <w:t xml:space="preserve"> (presets default/print/digital), export gate off/warn/block</w:t>
            </w:r>
          </w:p>
        </w:tc>
        <w:tc>
          <w:tcPr>
            <w:tcW w:w="0" w:type="auto"/>
          </w:tcPr>
          <w:p w14:paraId="634F9FD6" w14:textId="77777777" w:rsidR="00085C05" w:rsidRDefault="00000000">
            <w:pPr>
              <w:pStyle w:val="Compact"/>
            </w:pPr>
            <w:r>
              <w:t>Componentes + server actions de persistencia</w:t>
            </w:r>
          </w:p>
        </w:tc>
        <w:tc>
          <w:tcPr>
            <w:tcW w:w="0" w:type="auto"/>
          </w:tcPr>
          <w:p w14:paraId="00B3C357" w14:textId="77777777" w:rsidR="00085C05" w:rsidRDefault="00000000">
            <w:pPr>
              <w:pStyle w:val="Compact"/>
            </w:pPr>
            <w:r>
              <w:t>Implementado</w:t>
            </w:r>
          </w:p>
        </w:tc>
      </w:tr>
      <w:tr w:rsidR="00085C05" w14:paraId="125726BF" w14:textId="77777777">
        <w:tc>
          <w:tcPr>
            <w:tcW w:w="0" w:type="auto"/>
          </w:tcPr>
          <w:p w14:paraId="07283495" w14:textId="77777777" w:rsidR="00085C05" w:rsidRDefault="00000000">
            <w:pPr>
              <w:pStyle w:val="Compact"/>
            </w:pPr>
            <w:r>
              <w:t>Importación</w:t>
            </w:r>
          </w:p>
        </w:tc>
        <w:tc>
          <w:tcPr>
            <w:tcW w:w="0" w:type="auto"/>
          </w:tcPr>
          <w:p w14:paraId="2C75E02E" w14:textId="77777777" w:rsidR="00085C05" w:rsidRDefault="00000000">
            <w:pPr>
              <w:pStyle w:val="Compact"/>
            </w:pPr>
            <w:r>
              <w:t>Importación premium TXT/DOCX/MD con análisis previo; reimportación DOCX con diff estructural idempotente</w:t>
            </w:r>
          </w:p>
        </w:tc>
        <w:tc>
          <w:tcPr>
            <w:tcW w:w="0" w:type="auto"/>
          </w:tcPr>
          <w:p w14:paraId="41260EB4" w14:textId="77777777" w:rsidR="00085C05" w:rsidRDefault="00000000">
            <w:pPr>
              <w:pStyle w:val="Compact"/>
            </w:pPr>
            <w:r>
              <w:rPr>
                <w:rStyle w:val="VerbatimChar"/>
              </w:rPr>
              <w:t>DocumentImporter</w:t>
            </w:r>
            <w:r>
              <w:t xml:space="preserve">, </w:t>
            </w:r>
            <w:r>
              <w:rPr>
                <w:rStyle w:val="VerbatimChar"/>
              </w:rPr>
              <w:t>src/lib/projects/reimport.ts</w:t>
            </w:r>
            <w:r>
              <w:t xml:space="preserve">, </w:t>
            </w:r>
            <w:r>
              <w:rPr>
                <w:rStyle w:val="VerbatimChar"/>
              </w:rPr>
              <w:t>ReimportDialog</w:t>
            </w:r>
          </w:p>
        </w:tc>
        <w:tc>
          <w:tcPr>
            <w:tcW w:w="0" w:type="auto"/>
          </w:tcPr>
          <w:p w14:paraId="6C0EE43F" w14:textId="77777777" w:rsidR="00085C05" w:rsidRDefault="00000000">
            <w:pPr>
              <w:pStyle w:val="Compact"/>
            </w:pPr>
            <w:r>
              <w:t>Implementado</w:t>
            </w:r>
          </w:p>
        </w:tc>
      </w:tr>
      <w:tr w:rsidR="00085C05" w14:paraId="3EFFA4ED" w14:textId="77777777">
        <w:tc>
          <w:tcPr>
            <w:tcW w:w="0" w:type="auto"/>
          </w:tcPr>
          <w:p w14:paraId="3476298E" w14:textId="77777777" w:rsidR="00085C05" w:rsidRDefault="00000000">
            <w:pPr>
              <w:pStyle w:val="Compact"/>
            </w:pPr>
            <w:r>
              <w:t>Portada</w:t>
            </w:r>
          </w:p>
        </w:tc>
        <w:tc>
          <w:tcPr>
            <w:tcW w:w="0" w:type="auto"/>
          </w:tcPr>
          <w:p w14:paraId="342500F5" w14:textId="77777777" w:rsidR="00085C05" w:rsidRDefault="00000000">
            <w:pPr>
              <w:pStyle w:val="Compact"/>
            </w:pPr>
            <w:r>
              <w:t>Cover Studio por capas con sincronización de textos con metadatos del producto</w:t>
            </w:r>
          </w:p>
        </w:tc>
        <w:tc>
          <w:tcPr>
            <w:tcW w:w="0" w:type="auto"/>
          </w:tcPr>
          <w:p w14:paraId="0AA27EB7" w14:textId="77777777" w:rsidR="00085C05" w:rsidRDefault="00000000">
            <w:pPr>
              <w:pStyle w:val="Compact"/>
            </w:pPr>
            <w:r>
              <w:t>SurfaceCanvas/SurfaceInspector, commit D.3</w:t>
            </w:r>
          </w:p>
        </w:tc>
        <w:tc>
          <w:tcPr>
            <w:tcW w:w="0" w:type="auto"/>
          </w:tcPr>
          <w:p w14:paraId="16E3DF71" w14:textId="77777777" w:rsidR="00085C05" w:rsidRDefault="00000000">
            <w:pPr>
              <w:pStyle w:val="Compact"/>
            </w:pPr>
            <w:r>
              <w:t>Implementado</w:t>
            </w:r>
          </w:p>
        </w:tc>
      </w:tr>
      <w:tr w:rsidR="00085C05" w14:paraId="616DA99F" w14:textId="77777777">
        <w:tc>
          <w:tcPr>
            <w:tcW w:w="0" w:type="auto"/>
          </w:tcPr>
          <w:p w14:paraId="7066FEBF" w14:textId="77777777" w:rsidR="00085C05" w:rsidRDefault="00000000">
            <w:pPr>
              <w:pStyle w:val="Compact"/>
            </w:pPr>
            <w:r>
              <w:t>Exportació</w:t>
            </w:r>
            <w:r>
              <w:lastRenderedPageBreak/>
              <w:t>n</w:t>
            </w:r>
          </w:p>
        </w:tc>
        <w:tc>
          <w:tcPr>
            <w:tcW w:w="0" w:type="auto"/>
          </w:tcPr>
          <w:p w14:paraId="3A47DFBF" w14:textId="77777777" w:rsidR="00085C05" w:rsidRDefault="00000000">
            <w:pPr>
              <w:pStyle w:val="Compact"/>
            </w:pPr>
            <w:r>
              <w:lastRenderedPageBreak/>
              <w:t xml:space="preserve">PDF, DOCX y HTML </w:t>
            </w:r>
            <w:r>
              <w:lastRenderedPageBreak/>
              <w:t>consumiendo el motor de composición</w:t>
            </w:r>
          </w:p>
        </w:tc>
        <w:tc>
          <w:tcPr>
            <w:tcW w:w="0" w:type="auto"/>
          </w:tcPr>
          <w:p w14:paraId="725F6DB0" w14:textId="77777777" w:rsidR="00085C05" w:rsidRDefault="00000000">
            <w:pPr>
              <w:pStyle w:val="Compact"/>
            </w:pPr>
            <w:r>
              <w:rPr>
                <w:rStyle w:val="VerbatimChar"/>
              </w:rPr>
              <w:lastRenderedPageBreak/>
              <w:t>export-builder</w:t>
            </w:r>
            <w:r>
              <w:t xml:space="preserve">, </w:t>
            </w:r>
            <w:r>
              <w:rPr>
                <w:rStyle w:val="VerbatimChar"/>
              </w:rPr>
              <w:lastRenderedPageBreak/>
              <w:t>PdfExportButton</w:t>
            </w:r>
          </w:p>
        </w:tc>
        <w:tc>
          <w:tcPr>
            <w:tcW w:w="0" w:type="auto"/>
          </w:tcPr>
          <w:p w14:paraId="51FFE7D5" w14:textId="77777777" w:rsidR="00085C05" w:rsidRDefault="00000000">
            <w:pPr>
              <w:pStyle w:val="Compact"/>
            </w:pPr>
            <w:r>
              <w:lastRenderedPageBreak/>
              <w:t>Implementad</w:t>
            </w:r>
            <w:r>
              <w:lastRenderedPageBreak/>
              <w:t>o; EPUB ausente</w:t>
            </w:r>
          </w:p>
        </w:tc>
      </w:tr>
      <w:tr w:rsidR="00085C05" w14:paraId="383A3915" w14:textId="77777777">
        <w:tc>
          <w:tcPr>
            <w:tcW w:w="0" w:type="auto"/>
          </w:tcPr>
          <w:p w14:paraId="47113165" w14:textId="77777777" w:rsidR="00085C05" w:rsidRDefault="00000000">
            <w:pPr>
              <w:pStyle w:val="Compact"/>
            </w:pPr>
            <w:r>
              <w:lastRenderedPageBreak/>
              <w:t>Producto e i18n</w:t>
            </w:r>
          </w:p>
        </w:tc>
        <w:tc>
          <w:tcPr>
            <w:tcW w:w="0" w:type="auto"/>
          </w:tcPr>
          <w:p w14:paraId="79A0DA76" w14:textId="77777777" w:rsidR="00085C05" w:rsidRDefault="00000000">
            <w:pPr>
              <w:pStyle w:val="Compact"/>
            </w:pPr>
            <w:r>
              <w:t>Metadatos de producto (ISBN, descripción, keywords, idioma), landing con contratos de marca, ES/EN, dark mode</w:t>
            </w:r>
          </w:p>
        </w:tc>
        <w:tc>
          <w:tcPr>
            <w:tcW w:w="0" w:type="auto"/>
          </w:tcPr>
          <w:p w14:paraId="2AE9DADA" w14:textId="77777777" w:rsidR="00085C05" w:rsidRDefault="00000000">
            <w:pPr>
              <w:pStyle w:val="Compact"/>
            </w:pPr>
            <w:r>
              <w:rPr>
                <w:rStyle w:val="VerbatimChar"/>
              </w:rPr>
              <w:t>ProductMetadataPanel</w:t>
            </w:r>
            <w:r>
              <w:t xml:space="preserve">, </w:t>
            </w:r>
            <w:r>
              <w:rPr>
                <w:rStyle w:val="VerbatimChar"/>
              </w:rPr>
              <w:t>docs/standards/</w:t>
            </w:r>
          </w:p>
        </w:tc>
        <w:tc>
          <w:tcPr>
            <w:tcW w:w="0" w:type="auto"/>
          </w:tcPr>
          <w:p w14:paraId="687DABF1" w14:textId="77777777" w:rsidR="00085C05" w:rsidRDefault="00000000">
            <w:pPr>
              <w:pStyle w:val="Compact"/>
            </w:pPr>
            <w:r>
              <w:t>Implementado</w:t>
            </w:r>
          </w:p>
        </w:tc>
      </w:tr>
      <w:tr w:rsidR="00085C05" w14:paraId="20820136" w14:textId="77777777">
        <w:tc>
          <w:tcPr>
            <w:tcW w:w="0" w:type="auto"/>
          </w:tcPr>
          <w:p w14:paraId="2CACB020" w14:textId="77777777" w:rsidR="00085C05" w:rsidRDefault="00000000">
            <w:pPr>
              <w:pStyle w:val="Compact"/>
            </w:pPr>
            <w:r>
              <w:t>IA</w:t>
            </w:r>
          </w:p>
        </w:tc>
        <w:tc>
          <w:tcPr>
            <w:tcW w:w="0" w:type="auto"/>
          </w:tcPr>
          <w:p w14:paraId="77ED78C3" w14:textId="77777777" w:rsidR="00085C05" w:rsidRDefault="00000000">
            <w:pPr>
              <w:pStyle w:val="Compact"/>
            </w:pPr>
            <w:r>
              <w:t xml:space="preserve">Componente </w:t>
            </w:r>
            <w:r>
              <w:rPr>
                <w:rStyle w:val="VerbatimChar"/>
              </w:rPr>
              <w:t>AIAssistant</w:t>
            </w:r>
            <w:r>
              <w:t xml:space="preserve"> genérico</w:t>
            </w:r>
          </w:p>
        </w:tc>
        <w:tc>
          <w:tcPr>
            <w:tcW w:w="0" w:type="auto"/>
          </w:tcPr>
          <w:p w14:paraId="6C3ED96F" w14:textId="77777777" w:rsidR="00085C05" w:rsidRDefault="00000000">
            <w:pPr>
              <w:pStyle w:val="Compact"/>
            </w:pPr>
            <w:r>
              <w:rPr>
                <w:rStyle w:val="VerbatimChar"/>
              </w:rPr>
              <w:t>AIAssistant.tsx</w:t>
            </w:r>
          </w:p>
        </w:tc>
        <w:tc>
          <w:tcPr>
            <w:tcW w:w="0" w:type="auto"/>
          </w:tcPr>
          <w:p w14:paraId="42285642" w14:textId="77777777" w:rsidR="00085C05" w:rsidRDefault="00000000">
            <w:pPr>
              <w:pStyle w:val="Compact"/>
            </w:pPr>
            <w:r>
              <w:t>Incipiente</w:t>
            </w:r>
          </w:p>
        </w:tc>
      </w:tr>
      <w:tr w:rsidR="00085C05" w14:paraId="007062C3" w14:textId="77777777">
        <w:tc>
          <w:tcPr>
            <w:tcW w:w="0" w:type="auto"/>
          </w:tcPr>
          <w:p w14:paraId="36754949" w14:textId="77777777" w:rsidR="00085C05" w:rsidRDefault="00000000">
            <w:pPr>
              <w:pStyle w:val="Compact"/>
            </w:pPr>
            <w:r>
              <w:t>Pendiente en repo</w:t>
            </w:r>
          </w:p>
        </w:tc>
        <w:tc>
          <w:tcPr>
            <w:tcW w:w="0" w:type="auto"/>
          </w:tcPr>
          <w:p w14:paraId="4C895919" w14:textId="77777777" w:rsidR="00085C05" w:rsidRDefault="00000000">
            <w:pPr>
              <w:pStyle w:val="Compact"/>
            </w:pPr>
            <w:r>
              <w:t>Undo de diffs de live-preview, cover-studio leyendo vía modelo (parcial), Fase 3 del roadmap sin ejecutar</w:t>
            </w:r>
          </w:p>
        </w:tc>
        <w:tc>
          <w:tcPr>
            <w:tcW w:w="0" w:type="auto"/>
          </w:tcPr>
          <w:p w14:paraId="4C2BFD48" w14:textId="77777777" w:rsidR="00085C05" w:rsidRDefault="00000000">
            <w:pPr>
              <w:pStyle w:val="Compact"/>
            </w:pPr>
            <w:r>
              <w:rPr>
                <w:rStyle w:val="VerbatimChar"/>
              </w:rPr>
              <w:t>sdd/roadmap.md</w:t>
            </w:r>
            <w:r>
              <w:t>, notas de descope</w:t>
            </w:r>
          </w:p>
        </w:tc>
        <w:tc>
          <w:tcPr>
            <w:tcW w:w="0" w:type="auto"/>
          </w:tcPr>
          <w:p w14:paraId="4EA08DE5" w14:textId="77777777" w:rsidR="00085C05" w:rsidRDefault="00000000">
            <w:pPr>
              <w:pStyle w:val="Compact"/>
            </w:pPr>
            <w:r>
              <w:t>Backlog</w:t>
            </w:r>
          </w:p>
        </w:tc>
      </w:tr>
    </w:tbl>
    <w:p w14:paraId="72897AC6" w14:textId="77777777" w:rsidR="00085C05" w:rsidRDefault="00000000">
      <w:pPr>
        <w:pStyle w:val="BodyText"/>
      </w:pPr>
      <w:r>
        <w:t>La lectura de esta tabla revela un patrón que el propio fundador puede no haber internalizado: la madurez del producto está invertida respecto al mercado. Donde los competidores invierten (superficie visual, plantillas, generación de texto con IA), Anclora está en nivel básico; donde ningún competidor invierte (motor de composición gobernado por reglas, salud documental, round-trip de reimportación), Anclora está en nivel de producción. Esa asimetría es simultáneamente el foso competitivo y el problema comercial: el activo más valioso es también el más difícil de explicar en una landing. El plan definitivo debe, por tanto, asignar recursos a dos frentes distintos —completar los huecos visibles (EPUB, plantillas, IA) y “productizar” el motor invisible en beneficios que un autor no técnico entienda— y no confundir ambos con “construir más motor”.</w:t>
      </w:r>
    </w:p>
    <w:p w14:paraId="1F37F704" w14:textId="77777777" w:rsidR="00085C05" w:rsidRDefault="00000000">
      <w:pPr>
        <w:pStyle w:val="Heading4"/>
      </w:pPr>
      <w:bookmarkStart w:id="19" w:name="X35fb31bc78dad07ed7d9501ec2eadff21f6a30f"/>
      <w:bookmarkEnd w:id="18"/>
      <w:r>
        <w:t>1.1.3 Capacidades satélite: un anillo funcional ya operativo</w:t>
      </w:r>
    </w:p>
    <w:p w14:paraId="410C27D9" w14:textId="77777777" w:rsidR="00085C05" w:rsidRDefault="00000000">
      <w:pPr>
        <w:pStyle w:val="FirstParagraph"/>
      </w:pPr>
      <w:r>
        <w:t>Alrededor del motor existe un anillo de capacidades que muchos competidores tardarían trimestres en replicar. La importación premium procesa TXT, DOCX (vía Mammoth con HTML rico) y Markdown con detección de título, autor, subtítulo, prólogo e índice, preservación de jerarquía editorial y panel de análisis previo; sobre ella, la reimportación DOCX con diff estructural hace matching por anclas de título normalizadas, actualiza solo los capítulos modificados preservando ids y posiciones, y es idempotente por construcción.</w:t>
      </w:r>
      <w:r>
        <w:fldChar w:fldCharType="begin"/>
      </w:r>
      <w:r>
        <w:instrText>NOTEREF _Ref_Footnote_1 \h \f</w:instrText>
      </w:r>
      <w:r>
        <w:fldChar w:fldCharType="separate"/>
      </w:r>
      <w:r>
        <w:t>1</w:t>
      </w:r>
      <w:r>
        <w:fldChar w:fldCharType="end"/>
      </w:r>
      <w:r>
        <w:t xml:space="preserve"> El Cover Studio edita portada y contraportada por capas y, desde el commit D.3 del 3 de agosto de 2026, sincroniza sus textos con los metadatos del producto, cerrando otro vector clásico de incoherencia (portada desalineada del contenido).</w:t>
      </w:r>
      <w:r>
        <w:fldChar w:fldCharType="begin"/>
      </w:r>
      <w:r>
        <w:instrText>NOTEREF _Ref_Footnote_1 \h \f</w:instrText>
      </w:r>
      <w:r>
        <w:fldChar w:fldCharType="separate"/>
      </w:r>
      <w:r>
        <w:t>1</w:t>
      </w:r>
      <w:r>
        <w:fldChar w:fldCharType="end"/>
      </w:r>
      <w:r>
        <w:t xml:space="preserve"> La exportación a PDF, DOCX y HTML consume el mismo motor de composición que el preview, de modo que lo que se ve es lo que se exporta.</w:t>
      </w:r>
      <w:r>
        <w:fldChar w:fldCharType="begin"/>
      </w:r>
      <w:r>
        <w:instrText>NOTEREF _Ref_Footnote_1 \h \f</w:instrText>
      </w:r>
      <w:r>
        <w:fldChar w:fldCharType="separate"/>
      </w:r>
      <w:r>
        <w:t>1</w:t>
      </w:r>
      <w:r>
        <w:fldChar w:fldCharType="end"/>
      </w:r>
      <w:r>
        <w:t xml:space="preserve"> Y la capa de producto —metadatos con ISBN, panel de reglas persistido por proyecto, i18n ES/EN nativo, landing con contratos de marca documentados— demuestra que el proyecto ya piensa en términos de producto digital vendible, no de editor genérico.</w:t>
      </w:r>
      <w:r>
        <w:fldChar w:fldCharType="begin"/>
      </w:r>
      <w:r>
        <w:instrText>NOTEREF _Ref_Footnote_1 \h \f</w:instrText>
      </w:r>
      <w:r>
        <w:fldChar w:fldCharType="separate"/>
      </w:r>
      <w:r>
        <w:t>1</w:t>
      </w:r>
      <w:r>
        <w:fldChar w:fldCharType="end"/>
      </w:r>
    </w:p>
    <w:p w14:paraId="0A61900B" w14:textId="77777777" w:rsidR="00085C05" w:rsidRDefault="00000000">
      <w:pPr>
        <w:pStyle w:val="Heading4"/>
      </w:pPr>
      <w:bookmarkStart w:id="20" w:name="X54c2142a71a2a83e6d606d209fd00150a165e09"/>
      <w:bookmarkEnd w:id="19"/>
      <w:r>
        <w:lastRenderedPageBreak/>
        <w:t>1.1.4 Trabajo pendiente detectado en el propio repo</w:t>
      </w:r>
    </w:p>
    <w:p w14:paraId="5BDFB22A" w14:textId="77777777" w:rsidR="00085C05" w:rsidRDefault="00000000">
      <w:pPr>
        <w:pStyle w:val="FirstParagraph"/>
      </w:pPr>
      <w:r>
        <w:t>La honestidad de la línea base exige registrar lo que falta. El undo para diffs de live-preview fue descoped y el banner de diff es solo informativo.</w:t>
      </w:r>
      <w:r>
        <w:fldChar w:fldCharType="begin"/>
      </w:r>
      <w:r>
        <w:instrText>NOTEREF _Ref_Footnote_1 \h \f</w:instrText>
      </w:r>
      <w:r>
        <w:fldChar w:fldCharType="separate"/>
      </w:r>
      <w:r>
        <w:t>1</w:t>
      </w:r>
      <w:r>
        <w:fldChar w:fldCharType="end"/>
      </w:r>
      <w:r>
        <w:t xml:space="preserve"> Cover Studio lee vía el modelo de documento solo de forma parcial.</w:t>
      </w:r>
      <w:r>
        <w:fldChar w:fldCharType="begin"/>
      </w:r>
      <w:r>
        <w:instrText>NOTEREF _Ref_Footnote_1 \h \f</w:instrText>
      </w:r>
      <w:r>
        <w:fldChar w:fldCharType="separate"/>
      </w:r>
      <w:r>
        <w:t>1</w:t>
      </w:r>
      <w:r>
        <w:fldChar w:fldCharType="end"/>
      </w:r>
      <w:r>
        <w:t xml:space="preserve"> Y, sobre todo, la Fase 3 del propio roadmap interno (</w:t>
      </w:r>
      <w:r>
        <w:rPr>
          <w:rStyle w:val="VerbatimChar"/>
        </w:rPr>
        <w:t>sdd/roadmap.md</w:t>
      </w:r>
      <w:r>
        <w:t>) —biblioteca de plantillas, herramientas de colocación de imágenes, exportación EPUB, asistencia editorial con IA y workspaces colaborativos— está declarada pero sin ejecutar.</w:t>
      </w:r>
      <w:r>
        <w:fldChar w:fldCharType="begin"/>
      </w:r>
      <w:r>
        <w:instrText>NOTEREF _Ref_Footnote_1 \h \f</w:instrText>
      </w:r>
      <w:r>
        <w:fldChar w:fldCharType="separate"/>
      </w:r>
      <w:r>
        <w:t>1</w:t>
      </w:r>
      <w:r>
        <w:fldChar w:fldCharType="end"/>
      </w:r>
      <w:r>
        <w:t xml:space="preserve"> La capa IA existe como componente (</w:t>
      </w:r>
      <w:r>
        <w:rPr>
          <w:rStyle w:val="VerbatimChar"/>
        </w:rPr>
        <w:t>AIAssistant.tsx</w:t>
      </w:r>
      <w:r>
        <w:t>) pero figura en último lugar del orden de integración previsto, como “AI enhancement layer”.</w:t>
      </w:r>
      <w:r>
        <w:fldChar w:fldCharType="begin"/>
      </w:r>
      <w:r>
        <w:instrText>NOTEREF _Ref_Footnote_1 \h \f</w:instrText>
      </w:r>
      <w:r>
        <w:fldChar w:fldCharType="separate"/>
      </w:r>
      <w:r>
        <w:t>1</w:t>
      </w:r>
      <w:r>
        <w:fldChar w:fldCharType="end"/>
      </w:r>
      <w:r>
        <w:t xml:space="preserve"> El repositorio, en síntesis, tiene cerrado el núcleo diferencial y abierto exactamente el frente que el mercado ve primero: formatos, plantillas e inteligencia.</w:t>
      </w:r>
    </w:p>
    <w:p w14:paraId="2FC2C9A1" w14:textId="77777777" w:rsidR="00085C05" w:rsidRDefault="00000000">
      <w:pPr>
        <w:pStyle w:val="Heading3"/>
      </w:pPr>
      <w:bookmarkStart w:id="21" w:name="X35651e8cb2fb1c00401f42056c78e607bd58bc6"/>
      <w:bookmarkEnd w:id="16"/>
      <w:bookmarkEnd w:id="20"/>
      <w:r>
        <w:t>1.2 Evaluación crítica del plan de mejora de Perplexity</w:t>
      </w:r>
    </w:p>
    <w:p w14:paraId="5EBDED31" w14:textId="77777777" w:rsidR="00085C05" w:rsidRDefault="00000000">
      <w:pPr>
        <w:pStyle w:val="Heading4"/>
      </w:pPr>
      <w:bookmarkStart w:id="22" w:name="X475f5397bd78cf8ef1d7b75f927f2d0e1867811"/>
      <w:r>
        <w:t>1.2.1 Aciertos: la dirección estratégica es la correcta</w:t>
      </w:r>
    </w:p>
    <w:p w14:paraId="37416A7C" w14:textId="77777777" w:rsidR="00085C05" w:rsidRDefault="00000000">
      <w:pPr>
        <w:pStyle w:val="FirstParagraph"/>
      </w:pPr>
      <w:r>
        <w:t>El plan de Perplexity identifica sin ambigüedad el diferencial correcto: propone posicionar Anclora como “estudio de escritura y maquetación declarativa para productos digitales, donde el índice, la paginación y la estructura derivada nunca se desalinean del contenido”, y explicita que la presencia de esos paneles en el código es “lo que abre la puerta a un motor de composición declarativo”.</w:t>
      </w:r>
      <w:r>
        <w:fldChar w:fldCharType="begin"/>
      </w:r>
      <w:r>
        <w:instrText>NOTEREF _Ref_Footnote_2 \h \f</w:instrText>
      </w:r>
      <w:r>
        <w:fldChar w:fldCharType="separate"/>
      </w:r>
      <w:r>
        <w:t>2</w:t>
      </w:r>
      <w:r>
        <w:fldChar w:fldCharType="end"/>
      </w:r>
      <w:r>
        <w:t xml:space="preserve"> Acertó también en la dirección multiproducto —su Fase 2 redefine el “proyecto” como “producto digital compuesto” con activos derivados (PDF principal, resúmenes, fichas para blog, scripts de vídeo)— y en la arquitectura de IA multiagente con agentes especializados (estilo, arquitectura de contenido, coherencia estructural, maquetación) cuyas propuestas se materializan como diffs sobre el AST que el usuario acepta o rechaza.</w:t>
      </w:r>
      <w:r>
        <w:fldChar w:fldCharType="begin"/>
      </w:r>
      <w:r>
        <w:instrText>NOTEREF _Ref_Footnote_2 \h \f</w:instrText>
      </w:r>
      <w:r>
        <w:fldChar w:fldCharType="separate"/>
      </w:r>
      <w:r>
        <w:t>2</w:t>
      </w:r>
      <w:r>
        <w:fldChar w:fldCharType="end"/>
      </w:r>
      <w:r>
        <w:t xml:space="preserve"> Esta última idea, el registro de decisiones IA como changeset, es conceptualmente superior a lo que ofrece cualquier herramienta del mercado y encaja de forma natural con el modelo semántico que el repo ya tiene.</w:t>
      </w:r>
      <w:r>
        <w:fldChar w:fldCharType="begin"/>
      </w:r>
      <w:r>
        <w:instrText>NOTEREF _Ref_Footnote_2 \h \f</w:instrText>
      </w:r>
      <w:r>
        <w:fldChar w:fldCharType="separate"/>
      </w:r>
      <w:r>
        <w:t>2</w:t>
      </w:r>
      <w:r>
        <w:fldChar w:fldCharType="end"/>
      </w:r>
      <w:r>
        <w:t xml:space="preserve"> </w:t>
      </w:r>
      <w:r>
        <w:fldChar w:fldCharType="begin"/>
      </w:r>
      <w:r>
        <w:instrText>NOTEREF _Ref_Footnote_1 \h \f</w:instrText>
      </w:r>
      <w:r>
        <w:fldChar w:fldCharType="separate"/>
      </w:r>
      <w:r>
        <w:t>1</w:t>
      </w:r>
      <w:r>
        <w:fldChar w:fldCharType="end"/>
      </w:r>
    </w:p>
    <w:p w14:paraId="639EF049" w14:textId="77777777" w:rsidR="00085C05" w:rsidRDefault="00000000">
      <w:pPr>
        <w:pStyle w:val="Heading4"/>
      </w:pPr>
      <w:bookmarkStart w:id="23" w:name="Xedbdcef93df9560ad2b9895c2d8c5a53ece30d5"/>
      <w:bookmarkEnd w:id="22"/>
      <w:r>
        <w:t>1.2.2 Desfase crítico: propone construir lo construido</w:t>
      </w:r>
    </w:p>
    <w:p w14:paraId="6375072B" w14:textId="77777777" w:rsidR="00085C05" w:rsidRDefault="00000000">
      <w:pPr>
        <w:pStyle w:val="FirstParagraph"/>
      </w:pPr>
      <w:r>
        <w:t xml:space="preserve">El problema del plan no es conceptual sino de línea base. Su Fase 0 (“consolidación y documentación interna del motor actual”) y su Fase 1 (“motor de composición declarativa básico”: AST de documento, </w:t>
      </w:r>
      <w:r>
        <w:rPr>
          <w:rStyle w:val="VerbatimChar"/>
        </w:rPr>
        <w:t>DynamicTOC</w:t>
      </w:r>
      <w:r>
        <w:t xml:space="preserve"> reactivo, DSL de reglas de paginación, detección de incoherencias) describen con notable fidelidad la FASE C que el repositorio ya implementó, especificó en </w:t>
      </w:r>
      <w:r>
        <w:rPr>
          <w:rStyle w:val="VerbatimChar"/>
        </w:rPr>
        <w:t>sdd/composition-engine.md</w:t>
      </w:r>
      <w:r>
        <w:t xml:space="preserve"> y testó.</w:t>
      </w:r>
      <w:r>
        <w:fldChar w:fldCharType="begin"/>
      </w:r>
      <w:r>
        <w:instrText>NOTEREF _Ref_Footnote_2 \h \f</w:instrText>
      </w:r>
      <w:r>
        <w:fldChar w:fldCharType="separate"/>
      </w:r>
      <w:r>
        <w:t>2</w:t>
      </w:r>
      <w:r>
        <w:fldChar w:fldCharType="end"/>
      </w:r>
      <w:r>
        <w:t xml:space="preserve"> </w:t>
      </w:r>
      <w:r>
        <w:fldChar w:fldCharType="begin"/>
      </w:r>
      <w:r>
        <w:instrText>NOTEREF _Ref_Footnote_1 \h \f</w:instrText>
      </w:r>
      <w:r>
        <w:fldChar w:fldCharType="separate"/>
      </w:r>
      <w:r>
        <w:t>1</w:t>
      </w:r>
      <w:r>
        <w:fldChar w:fldCharType="end"/>
      </w:r>
      <w:r>
        <w:t xml:space="preserve"> La propia comparativa del plan lo delata: afirma que “no se observa en el código inspeccionado un módulo explícito de índice dinámico vinculado a reglas de composición”, cuando ese módulo existe y su TOC se regenera al 100% en cada ejecución.</w:t>
      </w:r>
      <w:r>
        <w:fldChar w:fldCharType="begin"/>
      </w:r>
      <w:r>
        <w:instrText>NOTEREF _Ref_Footnote_2 \h \f</w:instrText>
      </w:r>
      <w:r>
        <w:fldChar w:fldCharType="separate"/>
      </w:r>
      <w:r>
        <w:t>2</w:t>
      </w:r>
      <w:r>
        <w:fldChar w:fldCharType="end"/>
      </w:r>
      <w:r>
        <w:t xml:space="preserve"> </w:t>
      </w:r>
      <w:r>
        <w:fldChar w:fldCharType="begin"/>
      </w:r>
      <w:r>
        <w:instrText>NOTEREF _Ref_Footnote_1 \h \f</w:instrText>
      </w:r>
      <w:r>
        <w:fldChar w:fldCharType="separate"/>
      </w:r>
      <w:r>
        <w:t>1</w:t>
      </w:r>
      <w:r>
        <w:fldChar w:fldCharType="end"/>
      </w:r>
      <w:r>
        <w:t xml:space="preserve"> Perplexity analizó la lista de componentes, pero no la documentación SDD; el resultado es un roadmap que asigna sus dos primeros trimestres (Q1–Q2: Fases 0+1) a rehacer trabajo hecho.</w:t>
      </w:r>
      <w:r>
        <w:fldChar w:fldCharType="begin"/>
      </w:r>
      <w:r>
        <w:instrText>NOTEREF _Ref_Footnote_2 \h \f</w:instrText>
      </w:r>
      <w:r>
        <w:fldChar w:fldCharType="separate"/>
      </w:r>
      <w:r>
        <w:t>2</w:t>
      </w:r>
      <w:r>
        <w:fldChar w:fldCharType="end"/>
      </w:r>
    </w:p>
    <w:p w14:paraId="1BA0F6FB" w14:textId="77777777" w:rsidR="00085C05" w:rsidRDefault="00000000">
      <w:pPr>
        <w:pStyle w:val="BodyText"/>
      </w:pPr>
      <w:r>
        <w:rPr>
          <w:b/>
          <w:bCs/>
        </w:rPr>
        <w:t>Tabla 2. Propuesta de Perplexity vs. estado real del repo vs. veredicto</w:t>
      </w:r>
    </w:p>
    <w:tbl>
      <w:tblPr>
        <w:tblStyle w:val="Table"/>
        <w:tblW w:w="5000" w:type="pct"/>
        <w:tblLook w:val="0020" w:firstRow="1" w:lastRow="0" w:firstColumn="0" w:lastColumn="0" w:noHBand="0" w:noVBand="0"/>
      </w:tblPr>
      <w:tblGrid>
        <w:gridCol w:w="2892"/>
        <w:gridCol w:w="4444"/>
        <w:gridCol w:w="1718"/>
      </w:tblGrid>
      <w:tr w:rsidR="00085C05" w14:paraId="3B59FD2E"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092FC66A" w14:textId="77777777" w:rsidR="00085C05" w:rsidRDefault="00000000">
            <w:pPr>
              <w:pStyle w:val="Compact"/>
            </w:pPr>
            <w:r>
              <w:t>Propuesta de Perplexity</w:t>
            </w:r>
          </w:p>
        </w:tc>
        <w:tc>
          <w:tcPr>
            <w:tcW w:w="0" w:type="auto"/>
          </w:tcPr>
          <w:p w14:paraId="08DB9213" w14:textId="77777777" w:rsidR="00085C05" w:rsidRDefault="00000000">
            <w:pPr>
              <w:pStyle w:val="Compact"/>
            </w:pPr>
            <w:r>
              <w:t>Estado real en el repo (agosto 2026)</w:t>
            </w:r>
          </w:p>
        </w:tc>
        <w:tc>
          <w:tcPr>
            <w:tcW w:w="0" w:type="auto"/>
          </w:tcPr>
          <w:p w14:paraId="6A7F93E7" w14:textId="77777777" w:rsidR="00085C05" w:rsidRDefault="00000000">
            <w:pPr>
              <w:pStyle w:val="Compact"/>
            </w:pPr>
            <w:r>
              <w:t>Veredicto</w:t>
            </w:r>
          </w:p>
        </w:tc>
      </w:tr>
      <w:tr w:rsidR="00085C05" w14:paraId="29A8C8E5" w14:textId="77777777">
        <w:tc>
          <w:tcPr>
            <w:tcW w:w="0" w:type="auto"/>
          </w:tcPr>
          <w:p w14:paraId="065295A5" w14:textId="77777777" w:rsidR="00085C05" w:rsidRDefault="00000000">
            <w:pPr>
              <w:pStyle w:val="Compact"/>
            </w:pPr>
            <w:r>
              <w:lastRenderedPageBreak/>
              <w:t>Fase 0: documentar el motor actual (ADRs, diagramas, tests de contrato)</w:t>
            </w:r>
          </w:p>
        </w:tc>
        <w:tc>
          <w:tcPr>
            <w:tcW w:w="0" w:type="auto"/>
          </w:tcPr>
          <w:p w14:paraId="29439CCE" w14:textId="77777777" w:rsidR="00085C05" w:rsidRDefault="00000000">
            <w:pPr>
              <w:pStyle w:val="Compact"/>
            </w:pPr>
            <w:r>
              <w:t xml:space="preserve">Ya existe </w:t>
            </w:r>
            <w:r>
              <w:rPr>
                <w:rStyle w:val="VerbatimChar"/>
              </w:rPr>
              <w:t>sdd/</w:t>
            </w:r>
            <w:r>
              <w:t xml:space="preserve"> con architecture, data-model, roadmap y specs por feature, incluido </w:t>
            </w:r>
            <w:r>
              <w:rPr>
                <w:rStyle w:val="VerbatimChar"/>
              </w:rPr>
              <w:t>composition-engine.md</w:t>
            </w:r>
            <w:r>
              <w:t>; suite de ~483 tests verde</w:t>
            </w:r>
          </w:p>
        </w:tc>
        <w:tc>
          <w:tcPr>
            <w:tcW w:w="0" w:type="auto"/>
          </w:tcPr>
          <w:p w14:paraId="21E357B7" w14:textId="77777777" w:rsidR="00085C05" w:rsidRDefault="00000000">
            <w:pPr>
              <w:pStyle w:val="Compact"/>
            </w:pPr>
            <w:r>
              <w:t>Parcialmente obsoleta: ampliar, no crear</w:t>
            </w:r>
          </w:p>
        </w:tc>
      </w:tr>
      <w:tr w:rsidR="00085C05" w14:paraId="2849FE5B" w14:textId="77777777">
        <w:tc>
          <w:tcPr>
            <w:tcW w:w="0" w:type="auto"/>
          </w:tcPr>
          <w:p w14:paraId="4B2FC29F" w14:textId="77777777" w:rsidR="00085C05" w:rsidRDefault="00000000">
            <w:pPr>
              <w:pStyle w:val="Compact"/>
            </w:pPr>
            <w:r>
              <w:t>Fase 1: AST de documento enriquecido</w:t>
            </w:r>
          </w:p>
        </w:tc>
        <w:tc>
          <w:tcPr>
            <w:tcW w:w="0" w:type="auto"/>
          </w:tcPr>
          <w:p w14:paraId="024A27E8" w14:textId="77777777" w:rsidR="00085C05" w:rsidRDefault="00000000">
            <w:pPr>
              <w:pStyle w:val="Compact"/>
            </w:pPr>
            <w:r>
              <w:t xml:space="preserve">Modelo semántico de bloques implementado en </w:t>
            </w:r>
            <w:r>
              <w:rPr>
                <w:rStyle w:val="VerbatimChar"/>
              </w:rPr>
              <w:t>src/lib/document/</w:t>
            </w:r>
            <w:r>
              <w:t xml:space="preserve"> con ids estables y adaptadores HTML ida y vuelta</w:t>
            </w:r>
          </w:p>
        </w:tc>
        <w:tc>
          <w:tcPr>
            <w:tcW w:w="0" w:type="auto"/>
          </w:tcPr>
          <w:p w14:paraId="71E99019" w14:textId="77777777" w:rsidR="00085C05" w:rsidRDefault="00000000">
            <w:pPr>
              <w:pStyle w:val="Compact"/>
            </w:pPr>
            <w:r>
              <w:t>Obsoleta</w:t>
            </w:r>
          </w:p>
        </w:tc>
      </w:tr>
      <w:tr w:rsidR="00085C05" w14:paraId="51173527" w14:textId="77777777">
        <w:tc>
          <w:tcPr>
            <w:tcW w:w="0" w:type="auto"/>
          </w:tcPr>
          <w:p w14:paraId="39AFA96C" w14:textId="77777777" w:rsidR="00085C05" w:rsidRDefault="00000000">
            <w:pPr>
              <w:pStyle w:val="Compact"/>
            </w:pPr>
            <w:r>
              <w:t>Fase 1: índice dinámico y reactivo (</w:t>
            </w:r>
            <w:r>
              <w:rPr>
                <w:rStyle w:val="VerbatimChar"/>
              </w:rPr>
              <w:t>DynamicTOC</w:t>
            </w:r>
            <w:r>
              <w:t>)</w:t>
            </w:r>
          </w:p>
        </w:tc>
        <w:tc>
          <w:tcPr>
            <w:tcW w:w="0" w:type="auto"/>
          </w:tcPr>
          <w:p w14:paraId="23036F33" w14:textId="77777777" w:rsidR="00085C05" w:rsidRDefault="00000000">
            <w:pPr>
              <w:pStyle w:val="Compact"/>
            </w:pPr>
            <w:r>
              <w:t>TOC 100% generado en cada composición, nunca editable, con refs vivas materializadas</w:t>
            </w:r>
          </w:p>
        </w:tc>
        <w:tc>
          <w:tcPr>
            <w:tcW w:w="0" w:type="auto"/>
          </w:tcPr>
          <w:p w14:paraId="55CDBEA2" w14:textId="77777777" w:rsidR="00085C05" w:rsidRDefault="00000000">
            <w:pPr>
              <w:pStyle w:val="Compact"/>
            </w:pPr>
            <w:r>
              <w:t>Obsoleta: es exactamente el dolor ya resuelto</w:t>
            </w:r>
          </w:p>
        </w:tc>
      </w:tr>
      <w:tr w:rsidR="00085C05" w14:paraId="6AAE916B" w14:textId="77777777">
        <w:tc>
          <w:tcPr>
            <w:tcW w:w="0" w:type="auto"/>
          </w:tcPr>
          <w:p w14:paraId="025EED04" w14:textId="77777777" w:rsidR="00085C05" w:rsidRDefault="00000000">
            <w:pPr>
              <w:pStyle w:val="Compact"/>
            </w:pPr>
            <w:r>
              <w:t>Fase 1: DSL de reglas de paginación (JSON/YAML)</w:t>
            </w:r>
          </w:p>
        </w:tc>
        <w:tc>
          <w:tcPr>
            <w:tcW w:w="0" w:type="auto"/>
          </w:tcPr>
          <w:p w14:paraId="0EB76FBF" w14:textId="77777777" w:rsidR="00085C05" w:rsidRDefault="00000000">
            <w:pPr>
              <w:pStyle w:val="Compact"/>
            </w:pPr>
            <w:r>
              <w:rPr>
                <w:rStyle w:val="VerbatimChar"/>
              </w:rPr>
              <w:t>DocumentRules</w:t>
            </w:r>
            <w:r>
              <w:t xml:space="preserve"> JSON con keepTogether/keepWithNext/viudas, tabla de prioridades y presets default/print/digital persistidos por proyecto</w:t>
            </w:r>
          </w:p>
        </w:tc>
        <w:tc>
          <w:tcPr>
            <w:tcW w:w="0" w:type="auto"/>
          </w:tcPr>
          <w:p w14:paraId="2E46BC32" w14:textId="77777777" w:rsidR="00085C05" w:rsidRDefault="00000000">
            <w:pPr>
              <w:pStyle w:val="Compact"/>
            </w:pPr>
            <w:r>
              <w:t>Obsoleta</w:t>
            </w:r>
          </w:p>
        </w:tc>
      </w:tr>
      <w:tr w:rsidR="00085C05" w14:paraId="29B3F701" w14:textId="77777777">
        <w:tc>
          <w:tcPr>
            <w:tcW w:w="0" w:type="auto"/>
          </w:tcPr>
          <w:p w14:paraId="460DAC1C" w14:textId="77777777" w:rsidR="00085C05" w:rsidRDefault="00000000">
            <w:pPr>
              <w:pStyle w:val="Compact"/>
            </w:pPr>
            <w:r>
              <w:t xml:space="preserve">Fase 1: detección de incoherencias en </w:t>
            </w:r>
            <w:r>
              <w:rPr>
                <w:rStyle w:val="VerbatimChar"/>
              </w:rPr>
              <w:t>DocumentHealthPanel</w:t>
            </w:r>
          </w:p>
        </w:tc>
        <w:tc>
          <w:tcPr>
            <w:tcW w:w="0" w:type="auto"/>
          </w:tcPr>
          <w:p w14:paraId="159079C7" w14:textId="77777777" w:rsidR="00085C05" w:rsidRDefault="00000000">
            <w:pPr>
              <w:pStyle w:val="Compact"/>
            </w:pPr>
            <w:r>
              <w:t>Violaciones con página y regla, panel de salud, contador y export gate off/warn/block</w:t>
            </w:r>
          </w:p>
        </w:tc>
        <w:tc>
          <w:tcPr>
            <w:tcW w:w="0" w:type="auto"/>
          </w:tcPr>
          <w:p w14:paraId="629C8555" w14:textId="77777777" w:rsidR="00085C05" w:rsidRDefault="00000000">
            <w:pPr>
              <w:pStyle w:val="Compact"/>
            </w:pPr>
            <w:r>
              <w:t>Obsoleta</w:t>
            </w:r>
          </w:p>
        </w:tc>
      </w:tr>
      <w:tr w:rsidR="00085C05" w14:paraId="699E030F" w14:textId="77777777">
        <w:tc>
          <w:tcPr>
            <w:tcW w:w="0" w:type="auto"/>
          </w:tcPr>
          <w:p w14:paraId="7817B521" w14:textId="77777777" w:rsidR="00085C05" w:rsidRDefault="00000000">
            <w:pPr>
              <w:pStyle w:val="Compact"/>
            </w:pPr>
            <w:r>
              <w:t>Fase 2: plantillas de producto, mapa editorial, export multi-formato, paquetes de publicación</w:t>
            </w:r>
          </w:p>
        </w:tc>
        <w:tc>
          <w:tcPr>
            <w:tcW w:w="0" w:type="auto"/>
          </w:tcPr>
          <w:p w14:paraId="408CB60A" w14:textId="77777777" w:rsidR="00085C05" w:rsidRDefault="00000000">
            <w:pPr>
              <w:pStyle w:val="Compact"/>
            </w:pPr>
            <w:r>
              <w:t>TemplateSelector sin biblioteca; export solo PDF/DOCX/HTML; EPUB pendiente (Fase 3 del roadmap interno)</w:t>
            </w:r>
          </w:p>
        </w:tc>
        <w:tc>
          <w:tcPr>
            <w:tcW w:w="0" w:type="auto"/>
          </w:tcPr>
          <w:p w14:paraId="71306BA1" w14:textId="77777777" w:rsidR="00085C05" w:rsidRDefault="00000000">
            <w:pPr>
              <w:pStyle w:val="Compact"/>
            </w:pPr>
            <w:r>
              <w:t>Vigente y prioritaria</w:t>
            </w:r>
          </w:p>
        </w:tc>
      </w:tr>
      <w:tr w:rsidR="00085C05" w14:paraId="7D1DE08B" w14:textId="77777777">
        <w:tc>
          <w:tcPr>
            <w:tcW w:w="0" w:type="auto"/>
          </w:tcPr>
          <w:p w14:paraId="6DE85527" w14:textId="77777777" w:rsidR="00085C05" w:rsidRDefault="00000000">
            <w:pPr>
              <w:pStyle w:val="Compact"/>
            </w:pPr>
            <w:r>
              <w:t>Fase 3: orquestación de agentes IA con diffs sobre el AST</w:t>
            </w:r>
          </w:p>
        </w:tc>
        <w:tc>
          <w:tcPr>
            <w:tcW w:w="0" w:type="auto"/>
          </w:tcPr>
          <w:p w14:paraId="051798EE" w14:textId="77777777" w:rsidR="00085C05" w:rsidRDefault="00000000">
            <w:pPr>
              <w:pStyle w:val="Compact"/>
            </w:pPr>
            <w:r>
              <w:rPr>
                <w:rStyle w:val="VerbatimChar"/>
              </w:rPr>
              <w:t>AIAssistant</w:t>
            </w:r>
            <w:r>
              <w:t xml:space="preserve"> genérico; capa IA sin desarrollar</w:t>
            </w:r>
          </w:p>
        </w:tc>
        <w:tc>
          <w:tcPr>
            <w:tcW w:w="0" w:type="auto"/>
          </w:tcPr>
          <w:p w14:paraId="75529B54" w14:textId="77777777" w:rsidR="00085C05" w:rsidRDefault="00000000">
            <w:pPr>
              <w:pStyle w:val="Compact"/>
            </w:pPr>
            <w:r>
              <w:t>Vigente, y mejor diseñada sobre el motor ya existente</w:t>
            </w:r>
          </w:p>
        </w:tc>
      </w:tr>
      <w:tr w:rsidR="00085C05" w14:paraId="4BB1BF9F" w14:textId="77777777">
        <w:tc>
          <w:tcPr>
            <w:tcW w:w="0" w:type="auto"/>
          </w:tcPr>
          <w:p w14:paraId="7E3C3E96" w14:textId="77777777" w:rsidR="00085C05" w:rsidRDefault="00000000">
            <w:pPr>
              <w:pStyle w:val="Compact"/>
            </w:pPr>
            <w:r>
              <w:t>Fase 4: ecosistema (API, plugins, integraciones KDP/Gumroad/Notion)</w:t>
            </w:r>
          </w:p>
        </w:tc>
        <w:tc>
          <w:tcPr>
            <w:tcW w:w="0" w:type="auto"/>
          </w:tcPr>
          <w:p w14:paraId="6839F7B3" w14:textId="77777777" w:rsidR="00085C05" w:rsidRDefault="00000000">
            <w:pPr>
              <w:pStyle w:val="Compact"/>
            </w:pPr>
            <w:r>
              <w:t>Inexistente</w:t>
            </w:r>
          </w:p>
        </w:tc>
        <w:tc>
          <w:tcPr>
            <w:tcW w:w="0" w:type="auto"/>
          </w:tcPr>
          <w:p w14:paraId="12E08DEF" w14:textId="77777777" w:rsidR="00085C05" w:rsidRDefault="00000000">
            <w:pPr>
              <w:pStyle w:val="Compact"/>
            </w:pPr>
            <w:r>
              <w:t>Vigente, largo plazo</w:t>
            </w:r>
          </w:p>
        </w:tc>
      </w:tr>
      <w:tr w:rsidR="00085C05" w14:paraId="4533EA00" w14:textId="77777777">
        <w:tc>
          <w:tcPr>
            <w:tcW w:w="0" w:type="auto"/>
          </w:tcPr>
          <w:p w14:paraId="7D1120A2" w14:textId="77777777" w:rsidR="00085C05" w:rsidRDefault="00000000">
            <w:pPr>
              <w:pStyle w:val="Compact"/>
            </w:pPr>
            <w:r>
              <w:t>Benchmark: Scrivener, Atticus, Vellum</w:t>
            </w:r>
          </w:p>
        </w:tc>
        <w:tc>
          <w:tcPr>
            <w:tcW w:w="0" w:type="auto"/>
          </w:tcPr>
          <w:p w14:paraId="151DD9F2" w14:textId="77777777" w:rsidR="00085C05" w:rsidRDefault="00000000">
            <w:pPr>
              <w:pStyle w:val="Compact"/>
            </w:pPr>
            <w:r>
              <w:t>Correcto como referencia histórica, pero incompleto para 2026</w:t>
            </w:r>
          </w:p>
        </w:tc>
        <w:tc>
          <w:tcPr>
            <w:tcW w:w="0" w:type="auto"/>
          </w:tcPr>
          <w:p w14:paraId="353ECC64" w14:textId="77777777" w:rsidR="00085C05" w:rsidRDefault="00000000">
            <w:pPr>
              <w:pStyle w:val="Compact"/>
            </w:pPr>
            <w:r>
              <w:t>Insuficiente (ver 1.2.3)</w:t>
            </w:r>
          </w:p>
        </w:tc>
      </w:tr>
    </w:tbl>
    <w:p w14:paraId="73A4DB63" w14:textId="77777777" w:rsidR="00085C05" w:rsidRDefault="00000000">
      <w:pPr>
        <w:pStyle w:val="BodyText"/>
      </w:pPr>
      <w:r>
        <w:t xml:space="preserve">La interpretación de esta tabla es el corazón del capítulo. Cinco de las nueve filas están obsoletas y concentran exactamente el esfuerzo que Perplexity calendarizaba primero: ejecutar ese plan tal cual habría consumido dos trimestres en reimplementar el activo más valioso de la compañía, con el riesgo añadido de regresión sobre un motor ya testado. El desfase no es un error menor de lectura: invalida la secuenciación completa del roadmap propuesto, porque las fases vigentes (2, 3 y 4) estaban priorizadas después de un trabajo que no hace falta. La consecuencia práctica es que </w:t>
      </w:r>
      <w:r>
        <w:lastRenderedPageBreak/>
        <w:t>el plan definitivo puede adelantar en aproximadamente seis meses el calendario de Perplexity: lo que él situaba en Q3–Q4 (plantillas y multi-formato) pasa a ser el punto de partida inmediato, y la IA orquestada sobre el AST —que Perplexity diseñó bien pero supuso sobre un motor por construir— puede apoyarse desde el día uno en violaciones, refs y reglas reales.</w:t>
      </w:r>
    </w:p>
    <w:p w14:paraId="1681598E" w14:textId="77777777" w:rsidR="00085C05" w:rsidRDefault="00000000">
      <w:pPr>
        <w:pStyle w:val="Heading4"/>
      </w:pPr>
      <w:bookmarkStart w:id="24" w:name="Xf6315e9915fc9af87254fa846b5f48b7f8f8ff2"/>
      <w:bookmarkEnd w:id="23"/>
      <w:r>
        <w:t>1.2.3 Carencias: benchmark estrecho, EPUB sin trato crítico, distribución tardía y sin métricas</w:t>
      </w:r>
    </w:p>
    <w:p w14:paraId="7B556856" w14:textId="77777777" w:rsidR="00085C05" w:rsidRDefault="00000000">
      <w:pPr>
        <w:pStyle w:val="FirstParagraph"/>
      </w:pPr>
      <w:r>
        <w:t>Tres omisiones descalifican al plan como hoja de ruta hacia el objetivo declarado de ser la herramienta número uno. Primera: el benchmark se limita a Scrivener, Atticus y Vellum con fuentes de 2024 o anteriores, y deja fuera a los competidores que definen el mercado en 2026 —herramientas IA-nativas de generación de ebooks (Designrr y similares), plataformas de infoproductos con monetización integrada (Kajabi, Gumroad, Hotmart), editores visuales masivos (Canva) y el paradigma docs-as-code (Typst, Quarto, Leanpub) que valida técnicamente la apuesta de Anclora.</w:t>
      </w:r>
      <w:r>
        <w:fldChar w:fldCharType="begin"/>
      </w:r>
      <w:r>
        <w:instrText>NOTEREF _Ref_Footnote_2 \h \f</w:instrText>
      </w:r>
      <w:r>
        <w:fldChar w:fldCharType="separate"/>
      </w:r>
      <w:r>
        <w:t>2</w:t>
      </w:r>
      <w:r>
        <w:fldChar w:fldCharType="end"/>
      </w:r>
      <w:r>
        <w:t xml:space="preserve"> Un benchmark que no incluye a quien compite por el mismo euro del creador no puede informar un posicionamiento ganador; el capítulo 2 de este informe lo rehace con ese perímetro.</w:t>
      </w:r>
    </w:p>
    <w:p w14:paraId="16909D96" w14:textId="77777777" w:rsidR="00085C05" w:rsidRDefault="00000000">
      <w:pPr>
        <w:pStyle w:val="BodyText"/>
      </w:pPr>
      <w:r>
        <w:t>Segunda: el plan reduce EPUB a un ítem más de la lista de export multi-formato de su Fase 2 —un artefacto adicional junto a PDF, HTML y Markdown, y un componente del “pack de lanzamiento”— sin validación EPUBCheck, sin pre-flight por canal (KDP, IngramSpark) y sin tratarlo como entregable bloqueante, a pesar de ser el formato de entrada obligatorio de KDP y el vector de rechazo técnico más común en autopublicación.</w:t>
      </w:r>
      <w:r>
        <w:fldChar w:fldCharType="begin"/>
      </w:r>
      <w:r>
        <w:instrText>NOTEREF _Ref_Footnote_2 \h \f</w:instrText>
      </w:r>
      <w:r>
        <w:fldChar w:fldCharType="separate"/>
      </w:r>
      <w:r>
        <w:t>2</w:t>
      </w:r>
      <w:r>
        <w:fldChar w:fldCharType="end"/>
      </w:r>
      <w:r>
        <w:t xml:space="preserve"> La distribución, por su parte, sí aparece en el plan, pero solo como integración de ecosistema tardía en la Fase 4 (KDP, Kobo, Gumroad, plataformas de cursos), sin estrategia de monetización, packaging de oferta ni go-to-market: el “todo en uno” se detiene en la creación y abandona al usuario justo antes de vender.</w:t>
      </w:r>
      <w:r>
        <w:fldChar w:fldCharType="begin"/>
      </w:r>
      <w:r>
        <w:instrText>NOTEREF _Ref_Footnote_2 \h \f</w:instrText>
      </w:r>
      <w:r>
        <w:fldChar w:fldCharType="separate"/>
      </w:r>
      <w:r>
        <w:t>2</w:t>
      </w:r>
      <w:r>
        <w:fldChar w:fldCharType="end"/>
      </w:r>
      <w:r>
        <w:t xml:space="preserve"> Tercera: no define una sola métrica de éxito (adopción, activación, retención, ingresos) ni un go-to-market; es un plan de producto sin plan de negocio.</w:t>
      </w:r>
      <w:r>
        <w:fldChar w:fldCharType="begin"/>
      </w:r>
      <w:r>
        <w:instrText>NOTEREF _Ref_Footnote_2 \h \f</w:instrText>
      </w:r>
      <w:r>
        <w:fldChar w:fldCharType="separate"/>
      </w:r>
      <w:r>
        <w:t>2</w:t>
      </w:r>
      <w:r>
        <w:fldChar w:fldCharType="end"/>
      </w:r>
    </w:p>
    <w:p w14:paraId="44FA3E29" w14:textId="77777777" w:rsidR="00085C05" w:rsidRDefault="00000000">
      <w:pPr>
        <w:pStyle w:val="Heading4"/>
      </w:pPr>
      <w:bookmarkStart w:id="25" w:name="conclusión-re-basar-no-re-hacer"/>
      <w:bookmarkEnd w:id="24"/>
      <w:r>
        <w:t>1.2.4 Conclusión: re-basar, no re-hacer</w:t>
      </w:r>
    </w:p>
    <w:p w14:paraId="4F2F8D5A" w14:textId="77777777" w:rsidR="00085C05" w:rsidRDefault="00000000">
      <w:pPr>
        <w:pStyle w:val="FirstParagraph"/>
      </w:pPr>
      <w:r>
        <w:t>El veredicto de esta evaluación es que el plan de Perplexity es un buen plan para el Anclora de hace dos fases: conceptualmente correcto en el diferencial (composición declarativa), en la dirección (multiproducto) y en la arquitectura de IA (agentes con diffs gobernados), pero desfasado respecto al código, insuficiente en el perímetro competitivo y mudo en mercado y métricas.</w:t>
      </w:r>
      <w:r>
        <w:fldChar w:fldCharType="begin"/>
      </w:r>
      <w:r>
        <w:instrText>NOTEREF _Ref_Footnote_2 \h \f</w:instrText>
      </w:r>
      <w:r>
        <w:fldChar w:fldCharType="separate"/>
      </w:r>
      <w:r>
        <w:t>2</w:t>
      </w:r>
      <w:r>
        <w:fldChar w:fldCharType="end"/>
      </w:r>
      <w:r>
        <w:t xml:space="preserve"> </w:t>
      </w:r>
      <w:r>
        <w:fldChar w:fldCharType="begin"/>
      </w:r>
      <w:r>
        <w:instrText>NOTEREF _Ref_Footnote_1 \h \f</w:instrText>
      </w:r>
      <w:r>
        <w:fldChar w:fldCharType="separate"/>
      </w:r>
      <w:r>
        <w:t>1</w:t>
      </w:r>
      <w:r>
        <w:fldChar w:fldCharType="end"/>
      </w:r>
      <w:r>
        <w:t xml:space="preserve"> El plan definitivo que desarrollan los capítulos siguientes parte, por tanto, de tres correcciones: re-basar el esfuerzo sobre el estado real del repositorio (consolidar y productizar el motor en lugar de reconstruirlo), ampliar el benchmark al mercado de 2026, y completar el arco de valor hasta la distribución y la monetización. La línea base técnica está cerrada; la batalla pendiente es estratégica y de mercado, y empieza por saber contra quién se compite realmente.</w:t>
      </w:r>
    </w:p>
    <w:p w14:paraId="6E4E8318" w14:textId="77777777" w:rsidR="00085C05" w:rsidRDefault="00000000">
      <w:pPr>
        <w:pStyle w:val="Heading2"/>
      </w:pPr>
      <w:bookmarkStart w:id="26" w:name="X6da46faffec405c16b3b9b87fb48b241eb0bd45"/>
      <w:bookmarkEnd w:id="15"/>
      <w:bookmarkEnd w:id="21"/>
      <w:bookmarkEnd w:id="25"/>
      <w:r>
        <w:lastRenderedPageBreak/>
        <w:t>2. Benchmark competitivo 2026: el mercado de creación de productos digitales</w:t>
      </w:r>
    </w:p>
    <w:p w14:paraId="550821E9" w14:textId="77777777" w:rsidR="00085C05" w:rsidRDefault="00000000">
      <w:pPr>
        <w:pStyle w:val="FirstParagraph"/>
      </w:pPr>
      <w:r>
        <w:rPr>
          <w:b/>
          <w:bCs/>
        </w:rPr>
        <w:t>Conclusión ejecutiva del capítulo.</w:t>
      </w:r>
      <w:r>
        <w:t xml:space="preserve"> El mercado de creación de productos digitales editoriales se ha bifurcado en tres bandas que no se hablan entre sí: herramientas clásicas de escritura y maquetación (maduras, rentables y congeladas tecnológicamente), generadores IA-nativos (rápidos pero estructuralmente incoherentes) y plataformas de distribución (que venden pero no crean). Ningún actor cubre el ciclo completo autoría → composición gobernada → IA → colaboración → distribución, y esa ausencia no es accidental: cada banda tiene un foso que la protege y un techo que la limita. Para Anclora Talent, el benchmark arroja dos decisiones: no competir donde la generación de texto ya es commodity, y explotar una ventana de ~12 meses antes de que la ola end-to-end barata añada gobernanza editorial a sus pipelines.</w:t>
      </w:r>
    </w:p>
    <w:p w14:paraId="3409BA97" w14:textId="77777777" w:rsidR="00085C05" w:rsidRDefault="00000000">
      <w:pPr>
        <w:pStyle w:val="Heading3"/>
      </w:pPr>
      <w:bookmarkStart w:id="27" w:name="Xf24629c12a6e2383f77258d1a26f7cb26e1fbc8"/>
      <w:r>
        <w:t>2.1 Clásicos de escritura y maquetación: maduros pero estáticos</w:t>
      </w:r>
    </w:p>
    <w:p w14:paraId="74480F9D" w14:textId="77777777" w:rsidR="00085C05" w:rsidRDefault="00000000">
      <w:pPr>
        <w:pStyle w:val="FirstParagraph"/>
      </w:pPr>
      <w:r>
        <w:t>Los tres incumbentes del flujo “manuscrito → libro maquetado” comparten un patrón revelador: ninguno tiene funciones de IA, ninguno ha movido su arquitectura en años y todos monetizan con licencia única. Son rentables precisamente porque han dejado de innovar.</w:t>
      </w:r>
    </w:p>
    <w:p w14:paraId="0B8BF54C" w14:textId="77777777" w:rsidR="00085C05" w:rsidRDefault="00000000">
      <w:pPr>
        <w:pStyle w:val="BodyText"/>
      </w:pPr>
      <w:r>
        <w:rPr>
          <w:b/>
          <w:bCs/>
        </w:rPr>
        <w:t>Atticus ($147, licencia única)</w:t>
      </w:r>
      <w:r>
        <w:t xml:space="preserve"> es el favorito indie actual: multiplataforma vía webapp/PWA (Windows, Mac, Linux, Chromebook), con editor por capítulos y maquetación integrada (17+ temas, 1.500+ fuentes, export EPUB/PDF print/DOCX) </w:t>
      </w:r>
      <w:r>
        <w:rPr>
          <w:vertAlign w:val="superscript"/>
        </w:rPr>
        <w:footnoteReference w:id="14"/>
      </w:r>
      <w:r>
        <w:t xml:space="preserve"> </w:t>
      </w:r>
      <w:r>
        <w:rPr>
          <w:vertAlign w:val="superscript"/>
        </w:rPr>
        <w:footnoteReference w:id="15"/>
      </w:r>
      <w:r>
        <w:t xml:space="preserve">. En r/selfpublish, ~70% de los usuarios en hilos recientes lo recomienda sobre Vellum partiendo de cero </w:t>
      </w:r>
      <w:r>
        <w:rPr>
          <w:vertAlign w:val="superscript"/>
        </w:rPr>
        <w:footnoteReference w:id="16"/>
      </w:r>
      <w:r>
        <w:t xml:space="preserve">. Pero su superficie competitiva es más frágil de lo que sugiere su rating (~4,4-4,6/5): arrastra </w:t>
      </w:r>
      <w:r>
        <w:rPr>
          <w:b/>
          <w:bCs/>
        </w:rPr>
        <w:t>bugs de TOC documentados y vigentes desde octubre de 2025</w:t>
      </w:r>
      <w:r>
        <w:t xml:space="preserve"> (subheads sin número de página, Partes que ignoran el toggle de subheads, vista previa del editor distinta del export), un historial de releases que rompen la exportación, sincronización lenta con conflictos offline/online, y una colaboración lanzada en diciembre de 2024 que exige que el colaborador tenga cuenta de pago y no permite co-edición en tiempo real </w:t>
      </w:r>
      <w:r>
        <w:rPr>
          <w:vertAlign w:val="superscript"/>
        </w:rPr>
        <w:footnoteReference w:id="17"/>
      </w:r>
      <w:r>
        <w:t xml:space="preserve"> </w:t>
      </w:r>
      <w:r>
        <w:fldChar w:fldCharType="begin"/>
      </w:r>
      <w:r>
        <w:instrText>NOTEREF _Ref_Footnote_16 \h \f</w:instrText>
      </w:r>
      <w:r>
        <w:fldChar w:fldCharType="separate"/>
      </w:r>
      <w:r>
        <w:rPr>
          <w:vertAlign w:val="superscript"/>
        </w:rPr>
        <w:t>16</w:t>
      </w:r>
      <w:r>
        <w:fldChar w:fldCharType="end"/>
      </w:r>
      <w:r>
        <w:t xml:space="preserve"> </w:t>
      </w:r>
      <w:r>
        <w:rPr>
          <w:vertAlign w:val="superscript"/>
        </w:rPr>
        <w:footnoteReference w:id="18"/>
      </w:r>
      <w:r>
        <w:t xml:space="preserve"> </w:t>
      </w:r>
      <w:r>
        <w:rPr>
          <w:vertAlign w:val="superscript"/>
        </w:rPr>
        <w:footnoteReference w:id="19"/>
      </w:r>
      <w:r>
        <w:t xml:space="preserve">. Su editor de escritura es “plano” (Reedsy: 3,25/5), lo que obliga a la mayoría de usuarios a mantener otra app </w:t>
      </w:r>
      <w:r>
        <w:lastRenderedPageBreak/>
        <w:t xml:space="preserve">para redactar </w:t>
      </w:r>
      <w:r>
        <w:rPr>
          <w:vertAlign w:val="superscript"/>
        </w:rPr>
        <w:footnoteReference w:id="20"/>
      </w:r>
      <w:r>
        <w:t xml:space="preserve">. Y no tiene ninguna función de IA: es explícitamente una herramienta de producción </w:t>
      </w:r>
      <w:r>
        <w:rPr>
          <w:vertAlign w:val="superscript"/>
        </w:rPr>
        <w:footnoteReference w:id="21"/>
      </w:r>
      <w:r>
        <w:t xml:space="preserve"> </w:t>
      </w:r>
      <w:r>
        <w:rPr>
          <w:vertAlign w:val="superscript"/>
        </w:rPr>
        <w:footnoteReference w:id="22"/>
      </w:r>
      <w:r>
        <w:t>.</w:t>
      </w:r>
    </w:p>
    <w:p w14:paraId="134E1072" w14:textId="77777777" w:rsidR="00085C05" w:rsidRDefault="00000000">
      <w:pPr>
        <w:pStyle w:val="BodyText"/>
      </w:pPr>
      <w:r>
        <w:rPr>
          <w:b/>
          <w:bCs/>
        </w:rPr>
        <w:t>Vellum ($199,99-$249,99, licencia única)</w:t>
      </w:r>
      <w:r>
        <w:t xml:space="preserve"> sigue siendo el benchmark tipográfico out-of-the-box (26 estilos pulidos, control automático de viudas/huérfanas, previsualización por dispositivo), pero su moat se ha convertido en jaula: </w:t>
      </w:r>
      <w:r>
        <w:rPr>
          <w:b/>
          <w:bCs/>
        </w:rPr>
        <w:t>solo Mac</w:t>
      </w:r>
      <w:r>
        <w:t xml:space="preserve">, sin versión web ni intención comunicada de portar </w:t>
      </w:r>
      <w:r>
        <w:rPr>
          <w:vertAlign w:val="superscript"/>
        </w:rPr>
        <w:footnoteReference w:id="23"/>
      </w:r>
      <w:r>
        <w:t xml:space="preserve"> </w:t>
      </w:r>
      <w:r>
        <w:rPr>
          <w:vertAlign w:val="superscript"/>
        </w:rPr>
        <w:footnoteReference w:id="24"/>
      </w:r>
      <w:r>
        <w:t xml:space="preserve">. No tiene IA (“no AI features at all”), no tiene cloud ni colaboración (archivos solo locales) y no es herramienta de escritura: asume el manuscrito terminado </w:t>
      </w:r>
      <w:r>
        <w:rPr>
          <w:vertAlign w:val="superscript"/>
        </w:rPr>
        <w:footnoteReference w:id="25"/>
      </w:r>
      <w:r>
        <w:t xml:space="preserve"> </w:t>
      </w:r>
      <w:r>
        <w:rPr>
          <w:vertAlign w:val="superscript"/>
        </w:rPr>
        <w:footnoteReference w:id="26"/>
      </w:r>
      <w:r>
        <w:t xml:space="preserve"> </w:t>
      </w:r>
      <w:r>
        <w:rPr>
          <w:vertAlign w:val="superscript"/>
        </w:rPr>
        <w:footnoteReference w:id="27"/>
      </w:r>
      <w:r>
        <w:t xml:space="preserve"> </w:t>
      </w:r>
      <w:r>
        <w:rPr>
          <w:vertAlign w:val="superscript"/>
        </w:rPr>
        <w:footnoteReference w:id="28"/>
      </w:r>
      <w:r>
        <w:t xml:space="preserve">. La señal de mercado más dura es el giro de Kindlepreneur, su prescriptor histórico: en abril de 2026 publicó “ya no lo recomiendo”, citando precio y Mac-only frente a Atticus </w:t>
      </w:r>
      <w:r>
        <w:rPr>
          <w:vertAlign w:val="superscript"/>
        </w:rPr>
        <w:footnoteReference w:id="29"/>
      </w:r>
      <w:r>
        <w:t>. Cuando el evangelista principal abandona al líder tipográfico, el segmento está señalando que la calidad de composición ya no compensa la rigidez de plataforma.</w:t>
      </w:r>
    </w:p>
    <w:p w14:paraId="34D9A2DB" w14:textId="77777777" w:rsidR="00085C05" w:rsidRDefault="00000000">
      <w:pPr>
        <w:pStyle w:val="BodyText"/>
      </w:pPr>
      <w:r>
        <w:rPr>
          <w:b/>
          <w:bCs/>
        </w:rPr>
        <w:t>Scrivener 3 ($59,99 por plataforma)</w:t>
      </w:r>
      <w:r>
        <w:t xml:space="preserve"> domina la fase de escritura larga (Binder, corkboard, research integrado) y ahí sigue sin rival, pero su sistema de Compile es </w:t>
      </w:r>
      <w:r>
        <w:rPr>
          <w:b/>
          <w:bCs/>
        </w:rPr>
        <w:t>el dolor más documentado del sector</w:t>
      </w:r>
      <w:r>
        <w:t xml:space="preserve">: descrito como “minor nightmare” y más difícil que el de la v2, con un patrón de arrepentimiento repetido — terminar el manuscrito y atascarse en la exportación hasta copiar a Word para formatear </w:t>
      </w:r>
      <w:r>
        <w:rPr>
          <w:vertAlign w:val="superscript"/>
        </w:rPr>
        <w:footnoteReference w:id="30"/>
      </w:r>
      <w:r>
        <w:t xml:space="preserve">. La consecuencia estructural es que la mayoría de profesionales exporta de Scrivener a un formateador dedicado: el rey de la escritura abdica de todo lo que ocurre después del último punto final </w:t>
      </w:r>
      <w:r>
        <w:rPr>
          <w:vertAlign w:val="superscript"/>
        </w:rPr>
        <w:footnoteReference w:id="31"/>
      </w:r>
      <w:r>
        <w:t xml:space="preserve"> </w:t>
      </w:r>
      <w:r>
        <w:rPr>
          <w:vertAlign w:val="superscript"/>
        </w:rPr>
        <w:footnoteReference w:id="32"/>
      </w:r>
      <w:r>
        <w:t xml:space="preserve">. Sin IA, sin colaboración en tiempo real, con sync multi-dispositivo manual vía Dropbox y fallos reportados de forma continua </w:t>
      </w:r>
      <w:r>
        <w:fldChar w:fldCharType="begin"/>
      </w:r>
      <w:r>
        <w:instrText>NOTEREF _Ref_Footnote_30 \h \f</w:instrText>
      </w:r>
      <w:r>
        <w:fldChar w:fldCharType="separate"/>
      </w:r>
      <w:r>
        <w:rPr>
          <w:vertAlign w:val="superscript"/>
        </w:rPr>
        <w:t>30</w:t>
      </w:r>
      <w:r>
        <w:fldChar w:fldCharType="end"/>
      </w:r>
      <w:r>
        <w:t xml:space="preserve"> </w:t>
      </w:r>
      <w:r>
        <w:rPr>
          <w:vertAlign w:val="superscript"/>
        </w:rPr>
        <w:footnoteReference w:id="33"/>
      </w:r>
      <w:r>
        <w:t>.</w:t>
      </w:r>
    </w:p>
    <w:tbl>
      <w:tblPr>
        <w:tblStyle w:val="Table"/>
        <w:tblW w:w="5000" w:type="pct"/>
        <w:tblLook w:val="0020" w:firstRow="1" w:lastRow="0" w:firstColumn="0" w:lastColumn="0" w:noHBand="0" w:noVBand="0"/>
      </w:tblPr>
      <w:tblGrid>
        <w:gridCol w:w="1897"/>
        <w:gridCol w:w="1505"/>
        <w:gridCol w:w="1478"/>
        <w:gridCol w:w="2190"/>
        <w:gridCol w:w="1984"/>
      </w:tblGrid>
      <w:tr w:rsidR="00085C05" w14:paraId="31880B0E"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1C49834D" w14:textId="77777777" w:rsidR="00085C05" w:rsidRDefault="00000000">
            <w:pPr>
              <w:pStyle w:val="Compact"/>
            </w:pPr>
            <w:r>
              <w:t>Dimensión</w:t>
            </w:r>
          </w:p>
        </w:tc>
        <w:tc>
          <w:tcPr>
            <w:tcW w:w="0" w:type="auto"/>
          </w:tcPr>
          <w:p w14:paraId="4B3EEF59" w14:textId="77777777" w:rsidR="00085C05" w:rsidRDefault="00000000">
            <w:pPr>
              <w:pStyle w:val="Compact"/>
            </w:pPr>
            <w:r>
              <w:t>Atticus</w:t>
            </w:r>
          </w:p>
        </w:tc>
        <w:tc>
          <w:tcPr>
            <w:tcW w:w="0" w:type="auto"/>
          </w:tcPr>
          <w:p w14:paraId="48710305" w14:textId="77777777" w:rsidR="00085C05" w:rsidRDefault="00000000">
            <w:pPr>
              <w:pStyle w:val="Compact"/>
            </w:pPr>
            <w:r>
              <w:t>Vellum</w:t>
            </w:r>
          </w:p>
        </w:tc>
        <w:tc>
          <w:tcPr>
            <w:tcW w:w="0" w:type="auto"/>
          </w:tcPr>
          <w:p w14:paraId="328DC0EA" w14:textId="77777777" w:rsidR="00085C05" w:rsidRDefault="00000000">
            <w:pPr>
              <w:pStyle w:val="Compact"/>
            </w:pPr>
            <w:r>
              <w:t>Scrivener 3</w:t>
            </w:r>
          </w:p>
        </w:tc>
        <w:tc>
          <w:tcPr>
            <w:tcW w:w="0" w:type="auto"/>
          </w:tcPr>
          <w:p w14:paraId="032EB2A5" w14:textId="77777777" w:rsidR="00085C05" w:rsidRDefault="00000000">
            <w:pPr>
              <w:pStyle w:val="Compact"/>
            </w:pPr>
            <w:r>
              <w:t>Reedsy Studio (referencia)</w:t>
            </w:r>
          </w:p>
        </w:tc>
      </w:tr>
      <w:tr w:rsidR="00085C05" w14:paraId="223DAE7E" w14:textId="77777777">
        <w:tc>
          <w:tcPr>
            <w:tcW w:w="0" w:type="auto"/>
          </w:tcPr>
          <w:p w14:paraId="4B1CEAE2" w14:textId="77777777" w:rsidR="00085C05" w:rsidRDefault="00000000">
            <w:pPr>
              <w:pStyle w:val="Compact"/>
            </w:pPr>
            <w:r>
              <w:lastRenderedPageBreak/>
              <w:t>Precio</w:t>
            </w:r>
          </w:p>
        </w:tc>
        <w:tc>
          <w:tcPr>
            <w:tcW w:w="0" w:type="auto"/>
          </w:tcPr>
          <w:p w14:paraId="2F6BC5EE" w14:textId="77777777" w:rsidR="00085C05" w:rsidRDefault="00000000">
            <w:pPr>
              <w:pStyle w:val="Compact"/>
            </w:pPr>
            <w:r>
              <w:t xml:space="preserve">$147 one-time </w:t>
            </w:r>
            <w:r>
              <w:rPr>
                <w:vertAlign w:val="superscript"/>
              </w:rPr>
              <w:footnoteReference w:id="34"/>
            </w:r>
          </w:p>
        </w:tc>
        <w:tc>
          <w:tcPr>
            <w:tcW w:w="0" w:type="auto"/>
          </w:tcPr>
          <w:p w14:paraId="54950F88" w14:textId="77777777" w:rsidR="00085C05" w:rsidRDefault="00000000">
            <w:pPr>
              <w:pStyle w:val="Compact"/>
            </w:pPr>
            <w:r>
              <w:t xml:space="preserve">$199,99 / $249,99 one-time </w:t>
            </w:r>
            <w:r>
              <w:fldChar w:fldCharType="begin"/>
            </w:r>
            <w:r>
              <w:instrText>NOTEREF _Ref_Footnote_23 \h \f</w:instrText>
            </w:r>
            <w:r>
              <w:fldChar w:fldCharType="separate"/>
            </w:r>
            <w:r>
              <w:rPr>
                <w:vertAlign w:val="superscript"/>
              </w:rPr>
              <w:t>23</w:t>
            </w:r>
            <w:r>
              <w:fldChar w:fldCharType="end"/>
            </w:r>
          </w:p>
        </w:tc>
        <w:tc>
          <w:tcPr>
            <w:tcW w:w="0" w:type="auto"/>
          </w:tcPr>
          <w:p w14:paraId="7581A69A" w14:textId="77777777" w:rsidR="00085C05" w:rsidRDefault="00000000">
            <w:pPr>
              <w:pStyle w:val="Compact"/>
            </w:pPr>
            <w:r>
              <w:t xml:space="preserve">$59,99/plataforma </w:t>
            </w:r>
            <w:r>
              <w:rPr>
                <w:vertAlign w:val="superscript"/>
              </w:rPr>
              <w:footnoteReference w:id="35"/>
            </w:r>
          </w:p>
        </w:tc>
        <w:tc>
          <w:tcPr>
            <w:tcW w:w="0" w:type="auto"/>
          </w:tcPr>
          <w:p w14:paraId="09E145C1" w14:textId="77777777" w:rsidR="00085C05" w:rsidRDefault="00000000">
            <w:pPr>
              <w:pStyle w:val="Compact"/>
            </w:pPr>
            <w:r>
              <w:t xml:space="preserve">Gratis core; add-ons $5-11/mes </w:t>
            </w:r>
            <w:r>
              <w:rPr>
                <w:vertAlign w:val="superscript"/>
              </w:rPr>
              <w:footnoteReference w:id="36"/>
            </w:r>
          </w:p>
        </w:tc>
      </w:tr>
      <w:tr w:rsidR="00085C05" w14:paraId="3F84D28A" w14:textId="77777777">
        <w:tc>
          <w:tcPr>
            <w:tcW w:w="0" w:type="auto"/>
          </w:tcPr>
          <w:p w14:paraId="335BE626" w14:textId="77777777" w:rsidR="00085C05" w:rsidRDefault="00000000">
            <w:pPr>
              <w:pStyle w:val="Compact"/>
            </w:pPr>
            <w:r>
              <w:t>Plataforma</w:t>
            </w:r>
          </w:p>
        </w:tc>
        <w:tc>
          <w:tcPr>
            <w:tcW w:w="0" w:type="auto"/>
          </w:tcPr>
          <w:p w14:paraId="6799197E" w14:textId="77777777" w:rsidR="00085C05" w:rsidRDefault="00000000">
            <w:pPr>
              <w:pStyle w:val="Compact"/>
            </w:pPr>
            <w:r>
              <w:t xml:space="preserve">Web/PWA, todos los SO </w:t>
            </w:r>
            <w:r>
              <w:fldChar w:fldCharType="begin"/>
            </w:r>
            <w:r>
              <w:instrText>NOTEREF _Ref_Footnote_34 \h \f</w:instrText>
            </w:r>
            <w:r>
              <w:fldChar w:fldCharType="separate"/>
            </w:r>
            <w:r>
              <w:rPr>
                <w:vertAlign w:val="superscript"/>
              </w:rPr>
              <w:t>34</w:t>
            </w:r>
            <w:r>
              <w:fldChar w:fldCharType="end"/>
            </w:r>
          </w:p>
        </w:tc>
        <w:tc>
          <w:tcPr>
            <w:tcW w:w="0" w:type="auto"/>
          </w:tcPr>
          <w:p w14:paraId="7773E0DE" w14:textId="77777777" w:rsidR="00085C05" w:rsidRDefault="00000000">
            <w:pPr>
              <w:pStyle w:val="Compact"/>
            </w:pPr>
            <w:r>
              <w:rPr>
                <w:b/>
                <w:bCs/>
              </w:rPr>
              <w:t>Solo Mac</w:t>
            </w:r>
            <w:r>
              <w:t xml:space="preserve"> </w:t>
            </w:r>
            <w:r>
              <w:fldChar w:fldCharType="begin"/>
            </w:r>
            <w:r>
              <w:instrText>NOTEREF _Ref_Footnote_23 \h \f</w:instrText>
            </w:r>
            <w:r>
              <w:fldChar w:fldCharType="separate"/>
            </w:r>
            <w:r>
              <w:rPr>
                <w:vertAlign w:val="superscript"/>
              </w:rPr>
              <w:t>23</w:t>
            </w:r>
            <w:r>
              <w:fldChar w:fldCharType="end"/>
            </w:r>
          </w:p>
        </w:tc>
        <w:tc>
          <w:tcPr>
            <w:tcW w:w="0" w:type="auto"/>
          </w:tcPr>
          <w:p w14:paraId="3386ACA5" w14:textId="77777777" w:rsidR="00085C05" w:rsidRDefault="00000000">
            <w:pPr>
              <w:pStyle w:val="Compact"/>
            </w:pPr>
            <w:r>
              <w:t xml:space="preserve">Mac/Win/iOS, licencias separadas </w:t>
            </w:r>
            <w:r>
              <w:fldChar w:fldCharType="begin"/>
            </w:r>
            <w:r>
              <w:instrText>NOTEREF _Ref_Footnote_35 \h \f</w:instrText>
            </w:r>
            <w:r>
              <w:fldChar w:fldCharType="separate"/>
            </w:r>
            <w:r>
              <w:rPr>
                <w:vertAlign w:val="superscript"/>
              </w:rPr>
              <w:t>35</w:t>
            </w:r>
            <w:r>
              <w:fldChar w:fldCharType="end"/>
            </w:r>
          </w:p>
        </w:tc>
        <w:tc>
          <w:tcPr>
            <w:tcW w:w="0" w:type="auto"/>
          </w:tcPr>
          <w:p w14:paraId="509A037E" w14:textId="77777777" w:rsidR="00085C05" w:rsidRDefault="00000000">
            <w:pPr>
              <w:pStyle w:val="Compact"/>
            </w:pPr>
            <w:r>
              <w:t xml:space="preserve">Web </w:t>
            </w:r>
            <w:r>
              <w:fldChar w:fldCharType="begin"/>
            </w:r>
            <w:r>
              <w:instrText>NOTEREF _Ref_Footnote_36 \h \f</w:instrText>
            </w:r>
            <w:r>
              <w:fldChar w:fldCharType="separate"/>
            </w:r>
            <w:r>
              <w:rPr>
                <w:vertAlign w:val="superscript"/>
              </w:rPr>
              <w:t>36</w:t>
            </w:r>
            <w:r>
              <w:fldChar w:fldCharType="end"/>
            </w:r>
          </w:p>
        </w:tc>
      </w:tr>
      <w:tr w:rsidR="00085C05" w14:paraId="5767696C" w14:textId="77777777">
        <w:tc>
          <w:tcPr>
            <w:tcW w:w="0" w:type="auto"/>
          </w:tcPr>
          <w:p w14:paraId="658DC2D6" w14:textId="77777777" w:rsidR="00085C05" w:rsidRDefault="00000000">
            <w:pPr>
              <w:pStyle w:val="Compact"/>
            </w:pPr>
            <w:r>
              <w:t>TOC/paginación</w:t>
            </w:r>
          </w:p>
        </w:tc>
        <w:tc>
          <w:tcPr>
            <w:tcW w:w="0" w:type="auto"/>
          </w:tcPr>
          <w:p w14:paraId="0A786942" w14:textId="77777777" w:rsidR="00085C05" w:rsidRDefault="00000000">
            <w:pPr>
              <w:pStyle w:val="Compact"/>
            </w:pPr>
            <w:r>
              <w:t xml:space="preserve">Automático, </w:t>
            </w:r>
            <w:r>
              <w:rPr>
                <w:b/>
                <w:bCs/>
              </w:rPr>
              <w:t>bugs vigentes 2025</w:t>
            </w:r>
            <w:r>
              <w:t xml:space="preserve"> </w:t>
            </w:r>
            <w:r>
              <w:fldChar w:fldCharType="begin"/>
            </w:r>
            <w:r>
              <w:instrText>NOTEREF _Ref_Footnote_17 \h \f</w:instrText>
            </w:r>
            <w:r>
              <w:fldChar w:fldCharType="separate"/>
            </w:r>
            <w:r>
              <w:rPr>
                <w:vertAlign w:val="superscript"/>
              </w:rPr>
              <w:t>17</w:t>
            </w:r>
            <w:r>
              <w:fldChar w:fldCharType="end"/>
            </w:r>
          </w:p>
        </w:tc>
        <w:tc>
          <w:tcPr>
            <w:tcW w:w="0" w:type="auto"/>
          </w:tcPr>
          <w:p w14:paraId="486AB077" w14:textId="77777777" w:rsidR="00085C05" w:rsidRDefault="00000000">
            <w:pPr>
              <w:pStyle w:val="Compact"/>
            </w:pPr>
            <w:r>
              <w:t xml:space="preserve">Automático, el mejor pulido </w:t>
            </w:r>
            <w:r>
              <w:rPr>
                <w:vertAlign w:val="superscript"/>
              </w:rPr>
              <w:footnoteReference w:id="37"/>
            </w:r>
          </w:p>
        </w:tc>
        <w:tc>
          <w:tcPr>
            <w:tcW w:w="0" w:type="auto"/>
          </w:tcPr>
          <w:p w14:paraId="40009481" w14:textId="77777777" w:rsidR="00085C05" w:rsidRDefault="00000000">
            <w:pPr>
              <w:pStyle w:val="Compact"/>
            </w:pPr>
            <w:r>
              <w:t xml:space="preserve">Manual vía Compile; máximo dolor </w:t>
            </w:r>
            <w:r>
              <w:fldChar w:fldCharType="begin"/>
            </w:r>
            <w:r>
              <w:instrText>NOTEREF _Ref_Footnote_30 \h \f</w:instrText>
            </w:r>
            <w:r>
              <w:fldChar w:fldCharType="separate"/>
            </w:r>
            <w:r>
              <w:rPr>
                <w:vertAlign w:val="superscript"/>
              </w:rPr>
              <w:t>30</w:t>
            </w:r>
            <w:r>
              <w:fldChar w:fldCharType="end"/>
            </w:r>
          </w:p>
        </w:tc>
        <w:tc>
          <w:tcPr>
            <w:tcW w:w="0" w:type="auto"/>
          </w:tcPr>
          <w:p w14:paraId="714DF971" w14:textId="77777777" w:rsidR="00085C05" w:rsidRDefault="00000000">
            <w:pPr>
              <w:pStyle w:val="Compact"/>
            </w:pPr>
            <w:r>
              <w:t xml:space="preserve">Automático básico (3 plantillas) </w:t>
            </w:r>
            <w:r>
              <w:rPr>
                <w:vertAlign w:val="superscript"/>
              </w:rPr>
              <w:footnoteReference w:id="38"/>
            </w:r>
          </w:p>
        </w:tc>
      </w:tr>
      <w:tr w:rsidR="00085C05" w14:paraId="44BD6D40" w14:textId="77777777">
        <w:tc>
          <w:tcPr>
            <w:tcW w:w="0" w:type="auto"/>
          </w:tcPr>
          <w:p w14:paraId="35443A5D" w14:textId="77777777" w:rsidR="00085C05" w:rsidRDefault="00000000">
            <w:pPr>
              <w:pStyle w:val="Compact"/>
            </w:pPr>
            <w:r>
              <w:t>IA</w:t>
            </w:r>
          </w:p>
        </w:tc>
        <w:tc>
          <w:tcPr>
            <w:tcW w:w="0" w:type="auto"/>
          </w:tcPr>
          <w:p w14:paraId="157FCB5E" w14:textId="77777777" w:rsidR="00085C05" w:rsidRDefault="00000000">
            <w:pPr>
              <w:pStyle w:val="Compact"/>
            </w:pPr>
            <w:r>
              <w:t xml:space="preserve">Ninguna </w:t>
            </w:r>
            <w:r>
              <w:rPr>
                <w:vertAlign w:val="superscript"/>
              </w:rPr>
              <w:footnoteReference w:id="39"/>
            </w:r>
          </w:p>
        </w:tc>
        <w:tc>
          <w:tcPr>
            <w:tcW w:w="0" w:type="auto"/>
          </w:tcPr>
          <w:p w14:paraId="62A996DC" w14:textId="77777777" w:rsidR="00085C05" w:rsidRDefault="00000000">
            <w:pPr>
              <w:pStyle w:val="Compact"/>
            </w:pPr>
            <w:r>
              <w:t xml:space="preserve">Ninguna </w:t>
            </w:r>
            <w:r>
              <w:fldChar w:fldCharType="begin"/>
            </w:r>
            <w:r>
              <w:instrText>NOTEREF _Ref_Footnote_26 \h \f</w:instrText>
            </w:r>
            <w:r>
              <w:fldChar w:fldCharType="separate"/>
            </w:r>
            <w:r>
              <w:rPr>
                <w:vertAlign w:val="superscript"/>
              </w:rPr>
              <w:t>26</w:t>
            </w:r>
            <w:r>
              <w:fldChar w:fldCharType="end"/>
            </w:r>
          </w:p>
        </w:tc>
        <w:tc>
          <w:tcPr>
            <w:tcW w:w="0" w:type="auto"/>
          </w:tcPr>
          <w:p w14:paraId="1F0D5B3A" w14:textId="77777777" w:rsidR="00085C05" w:rsidRDefault="00000000">
            <w:pPr>
              <w:pStyle w:val="Compact"/>
            </w:pPr>
            <w:r>
              <w:t>Ninguna</w:t>
            </w:r>
          </w:p>
        </w:tc>
        <w:tc>
          <w:tcPr>
            <w:tcW w:w="0" w:type="auto"/>
          </w:tcPr>
          <w:p w14:paraId="5E7189B9" w14:textId="77777777" w:rsidR="00085C05" w:rsidRDefault="00000000">
            <w:pPr>
              <w:pStyle w:val="Compact"/>
            </w:pPr>
            <w:r>
              <w:t xml:space="preserve">Ninguna (anti-IA por principio) </w:t>
            </w:r>
            <w:r>
              <w:rPr>
                <w:vertAlign w:val="superscript"/>
              </w:rPr>
              <w:footnoteReference w:id="40"/>
            </w:r>
          </w:p>
        </w:tc>
      </w:tr>
      <w:tr w:rsidR="00085C05" w14:paraId="064D3706" w14:textId="77777777">
        <w:tc>
          <w:tcPr>
            <w:tcW w:w="0" w:type="auto"/>
          </w:tcPr>
          <w:p w14:paraId="3215116F" w14:textId="77777777" w:rsidR="00085C05" w:rsidRDefault="00000000">
            <w:pPr>
              <w:pStyle w:val="Compact"/>
            </w:pPr>
            <w:r>
              <w:t>Colaboración</w:t>
            </w:r>
          </w:p>
        </w:tc>
        <w:tc>
          <w:tcPr>
            <w:tcW w:w="0" w:type="auto"/>
          </w:tcPr>
          <w:p w14:paraId="6D4A995A" w14:textId="77777777" w:rsidR="00085C05" w:rsidRDefault="00000000">
            <w:pPr>
              <w:pStyle w:val="Compact"/>
            </w:pPr>
            <w:r>
              <w:t xml:space="preserve">Roles, requiere cuenta de pago; sin tiempo real </w:t>
            </w:r>
            <w:r>
              <w:rPr>
                <w:vertAlign w:val="superscript"/>
              </w:rPr>
              <w:footnoteReference w:id="41"/>
            </w:r>
            <w:r>
              <w:t xml:space="preserve"> </w:t>
            </w:r>
            <w:r>
              <w:rPr>
                <w:vertAlign w:val="superscript"/>
              </w:rPr>
              <w:footnoteReference w:id="42"/>
            </w:r>
          </w:p>
        </w:tc>
        <w:tc>
          <w:tcPr>
            <w:tcW w:w="0" w:type="auto"/>
          </w:tcPr>
          <w:p w14:paraId="61E9FD37" w14:textId="77777777" w:rsidR="00085C05" w:rsidRDefault="00000000">
            <w:pPr>
              <w:pStyle w:val="Compact"/>
            </w:pPr>
            <w:r>
              <w:t xml:space="preserve">Ninguna </w:t>
            </w:r>
            <w:r>
              <w:rPr>
                <w:vertAlign w:val="superscript"/>
              </w:rPr>
              <w:footnoteReference w:id="43"/>
            </w:r>
          </w:p>
        </w:tc>
        <w:tc>
          <w:tcPr>
            <w:tcW w:w="0" w:type="auto"/>
          </w:tcPr>
          <w:p w14:paraId="68A419FE" w14:textId="77777777" w:rsidR="00085C05" w:rsidRDefault="00000000">
            <w:pPr>
              <w:pStyle w:val="Compact"/>
            </w:pPr>
            <w:r>
              <w:t xml:space="preserve">Ninguna (Dropbox manual) </w:t>
            </w:r>
            <w:r>
              <w:fldChar w:fldCharType="begin"/>
            </w:r>
            <w:r>
              <w:instrText>NOTEREF _Ref_Footnote_31 \h \f</w:instrText>
            </w:r>
            <w:r>
              <w:fldChar w:fldCharType="separate"/>
            </w:r>
            <w:r>
              <w:rPr>
                <w:vertAlign w:val="superscript"/>
              </w:rPr>
              <w:t>31</w:t>
            </w:r>
            <w:r>
              <w:fldChar w:fldCharType="end"/>
            </w:r>
          </w:p>
        </w:tc>
        <w:tc>
          <w:tcPr>
            <w:tcW w:w="0" w:type="auto"/>
          </w:tcPr>
          <w:p w14:paraId="7A861E81" w14:textId="77777777" w:rsidR="00085C05" w:rsidRDefault="00000000">
            <w:pPr>
              <w:pStyle w:val="Compact"/>
            </w:pPr>
            <w:r>
              <w:rPr>
                <w:b/>
                <w:bCs/>
              </w:rPr>
              <w:t>Tiempo real</w:t>
            </w:r>
            <w:r>
              <w:t xml:space="preserve"> </w:t>
            </w:r>
            <w:r>
              <w:fldChar w:fldCharType="begin"/>
            </w:r>
            <w:r>
              <w:instrText>NOTEREF _Ref_Footnote_31 \h \f</w:instrText>
            </w:r>
            <w:r>
              <w:fldChar w:fldCharType="separate"/>
            </w:r>
            <w:r>
              <w:rPr>
                <w:vertAlign w:val="superscript"/>
              </w:rPr>
              <w:t>31</w:t>
            </w:r>
            <w:r>
              <w:fldChar w:fldCharType="end"/>
            </w:r>
          </w:p>
        </w:tc>
      </w:tr>
      <w:tr w:rsidR="00085C05" w14:paraId="057CD872" w14:textId="77777777">
        <w:tc>
          <w:tcPr>
            <w:tcW w:w="0" w:type="auto"/>
          </w:tcPr>
          <w:p w14:paraId="5B4493E8" w14:textId="77777777" w:rsidR="00085C05" w:rsidRDefault="00000000">
            <w:pPr>
              <w:pStyle w:val="Compact"/>
            </w:pPr>
            <w:r>
              <w:t>Escritura</w:t>
            </w:r>
          </w:p>
        </w:tc>
        <w:tc>
          <w:tcPr>
            <w:tcW w:w="0" w:type="auto"/>
          </w:tcPr>
          <w:p w14:paraId="70EB03FE" w14:textId="77777777" w:rsidR="00085C05" w:rsidRDefault="00000000">
            <w:pPr>
              <w:pStyle w:val="Compact"/>
            </w:pPr>
            <w:r>
              <w:t xml:space="preserve">Superficial </w:t>
            </w:r>
            <w:r>
              <w:rPr>
                <w:vertAlign w:val="superscript"/>
              </w:rPr>
              <w:footnoteReference w:id="44"/>
            </w:r>
          </w:p>
        </w:tc>
        <w:tc>
          <w:tcPr>
            <w:tcW w:w="0" w:type="auto"/>
          </w:tcPr>
          <w:p w14:paraId="030529E1" w14:textId="77777777" w:rsidR="00085C05" w:rsidRDefault="00000000">
            <w:pPr>
              <w:pStyle w:val="Compact"/>
            </w:pPr>
            <w:r>
              <w:t xml:space="preserve">No (importa DOCX) </w:t>
            </w:r>
            <w:r>
              <w:rPr>
                <w:vertAlign w:val="superscript"/>
              </w:rPr>
              <w:footnoteReference w:id="45"/>
            </w:r>
          </w:p>
        </w:tc>
        <w:tc>
          <w:tcPr>
            <w:tcW w:w="0" w:type="auto"/>
          </w:tcPr>
          <w:p w14:paraId="782440ED" w14:textId="77777777" w:rsidR="00085C05" w:rsidRDefault="00000000">
            <w:pPr>
              <w:pStyle w:val="Compact"/>
            </w:pPr>
            <w:r>
              <w:t xml:space="preserve">La mejor del mercado </w:t>
            </w:r>
            <w:r>
              <w:rPr>
                <w:vertAlign w:val="superscript"/>
              </w:rPr>
              <w:footnoteReference w:id="46"/>
            </w:r>
          </w:p>
        </w:tc>
        <w:tc>
          <w:tcPr>
            <w:tcW w:w="0" w:type="auto"/>
          </w:tcPr>
          <w:p w14:paraId="21DBBA0A" w14:textId="77777777" w:rsidR="00085C05" w:rsidRDefault="00000000">
            <w:pPr>
              <w:pStyle w:val="Compact"/>
            </w:pPr>
            <w:r>
              <w:t xml:space="preserve">Buena </w:t>
            </w:r>
            <w:r>
              <w:fldChar w:fldCharType="begin"/>
            </w:r>
            <w:r>
              <w:instrText>NOTEREF _Ref_Footnote_36 \h \f</w:instrText>
            </w:r>
            <w:r>
              <w:fldChar w:fldCharType="separate"/>
            </w:r>
            <w:r>
              <w:rPr>
                <w:vertAlign w:val="superscript"/>
              </w:rPr>
              <w:t>36</w:t>
            </w:r>
            <w:r>
              <w:fldChar w:fldCharType="end"/>
            </w:r>
          </w:p>
        </w:tc>
      </w:tr>
      <w:tr w:rsidR="00085C05" w14:paraId="5957BE02" w14:textId="77777777">
        <w:tc>
          <w:tcPr>
            <w:tcW w:w="0" w:type="auto"/>
          </w:tcPr>
          <w:p w14:paraId="2188337B" w14:textId="77777777" w:rsidR="00085C05" w:rsidRDefault="00000000">
            <w:pPr>
              <w:pStyle w:val="Compact"/>
            </w:pPr>
            <w:r>
              <w:t xml:space="preserve">Rating agregado </w:t>
            </w:r>
            <w:r>
              <w:lastRenderedPageBreak/>
              <w:t>2026</w:t>
            </w:r>
          </w:p>
        </w:tc>
        <w:tc>
          <w:tcPr>
            <w:tcW w:w="0" w:type="auto"/>
          </w:tcPr>
          <w:p w14:paraId="012BB3A7" w14:textId="77777777" w:rsidR="00085C05" w:rsidRDefault="00000000">
            <w:pPr>
              <w:pStyle w:val="Compact"/>
            </w:pPr>
            <w:r>
              <w:lastRenderedPageBreak/>
              <w:t xml:space="preserve">~4,4-4,6/5 </w:t>
            </w:r>
            <w:r>
              <w:lastRenderedPageBreak/>
              <w:fldChar w:fldCharType="begin"/>
            </w:r>
            <w:r>
              <w:instrText>NOTEREF _Ref_Footnote_16 \h \f</w:instrText>
            </w:r>
            <w:r>
              <w:fldChar w:fldCharType="separate"/>
            </w:r>
            <w:r>
              <w:rPr>
                <w:vertAlign w:val="superscript"/>
              </w:rPr>
              <w:t>16</w:t>
            </w:r>
            <w:r>
              <w:fldChar w:fldCharType="end"/>
            </w:r>
          </w:p>
        </w:tc>
        <w:tc>
          <w:tcPr>
            <w:tcW w:w="0" w:type="auto"/>
          </w:tcPr>
          <w:p w14:paraId="0497C977" w14:textId="77777777" w:rsidR="00085C05" w:rsidRDefault="00000000">
            <w:pPr>
              <w:pStyle w:val="Compact"/>
            </w:pPr>
            <w:r>
              <w:lastRenderedPageBreak/>
              <w:t xml:space="preserve">~4,7/5 </w:t>
            </w:r>
            <w:r>
              <w:lastRenderedPageBreak/>
              <w:t xml:space="preserve">(Reedsy: 3/5) </w:t>
            </w:r>
            <w:r>
              <w:fldChar w:fldCharType="begin"/>
            </w:r>
            <w:r>
              <w:instrText>NOTEREF _Ref_Footnote_16 \h \f</w:instrText>
            </w:r>
            <w:r>
              <w:fldChar w:fldCharType="separate"/>
            </w:r>
            <w:r>
              <w:rPr>
                <w:vertAlign w:val="superscript"/>
              </w:rPr>
              <w:t>16</w:t>
            </w:r>
            <w:r>
              <w:fldChar w:fldCharType="end"/>
            </w:r>
            <w:r>
              <w:t xml:space="preserve"> </w:t>
            </w:r>
            <w:r>
              <w:fldChar w:fldCharType="begin"/>
            </w:r>
            <w:r>
              <w:instrText>NOTEREF _Ref_Footnote_24 \h \f</w:instrText>
            </w:r>
            <w:r>
              <w:fldChar w:fldCharType="separate"/>
            </w:r>
            <w:r>
              <w:rPr>
                <w:vertAlign w:val="superscript"/>
              </w:rPr>
              <w:t>24</w:t>
            </w:r>
            <w:r>
              <w:fldChar w:fldCharType="end"/>
            </w:r>
          </w:p>
        </w:tc>
        <w:tc>
          <w:tcPr>
            <w:tcW w:w="0" w:type="auto"/>
          </w:tcPr>
          <w:p w14:paraId="4E188BC2" w14:textId="77777777" w:rsidR="00085C05" w:rsidRDefault="00000000">
            <w:pPr>
              <w:pStyle w:val="Compact"/>
            </w:pPr>
            <w:r>
              <w:lastRenderedPageBreak/>
              <w:t xml:space="preserve">~4,3/5 </w:t>
            </w:r>
            <w:r>
              <w:fldChar w:fldCharType="begin"/>
            </w:r>
            <w:r>
              <w:instrText>NOTEREF _Ref_Footnote_16 \h \f</w:instrText>
            </w:r>
            <w:r>
              <w:fldChar w:fldCharType="separate"/>
            </w:r>
            <w:r>
              <w:rPr>
                <w:vertAlign w:val="superscript"/>
              </w:rPr>
              <w:t>16</w:t>
            </w:r>
            <w:r>
              <w:fldChar w:fldCharType="end"/>
            </w:r>
          </w:p>
        </w:tc>
        <w:tc>
          <w:tcPr>
            <w:tcW w:w="0" w:type="auto"/>
          </w:tcPr>
          <w:p w14:paraId="1EB6794A" w14:textId="77777777" w:rsidR="00085C05" w:rsidRDefault="00000000">
            <w:pPr>
              <w:pStyle w:val="Compact"/>
            </w:pPr>
            <w:r>
              <w:t xml:space="preserve">4,5/5 </w:t>
            </w:r>
            <w:r>
              <w:lastRenderedPageBreak/>
              <w:t xml:space="preserve">(autoevaluación) </w:t>
            </w:r>
            <w:r>
              <w:rPr>
                <w:vertAlign w:val="superscript"/>
              </w:rPr>
              <w:footnoteReference w:id="47"/>
            </w:r>
          </w:p>
        </w:tc>
      </w:tr>
    </w:tbl>
    <w:p w14:paraId="1621406D" w14:textId="77777777" w:rsidR="00085C05" w:rsidRDefault="00000000">
      <w:pPr>
        <w:pStyle w:val="BodyText"/>
      </w:pPr>
      <w:r>
        <w:lastRenderedPageBreak/>
        <w:t xml:space="preserve">La tabla revela una estructura de mercado de suma cero interna: cada clásico es excelente en exactamente una capa y deficiente en las demás, de modo que el autor profesional termina apilando Scrivener + Atticus/Vellum ($207-310 de pila) sin resolver ni la colaboración ni la IA </w:t>
      </w:r>
      <w:r>
        <w:fldChar w:fldCharType="begin"/>
      </w:r>
      <w:r>
        <w:instrText>NOTEREF _Ref_Footnote_46 \h \f</w:instrText>
      </w:r>
      <w:r>
        <w:fldChar w:fldCharType="separate"/>
      </w:r>
      <w:r>
        <w:rPr>
          <w:vertAlign w:val="superscript"/>
        </w:rPr>
        <w:t>46</w:t>
      </w:r>
      <w:r>
        <w:fldChar w:fldCharType="end"/>
      </w:r>
      <w:r>
        <w:t xml:space="preserve">. Los outliers son instructivos: Reedsy Studio, la única con colaboración en tiempo real, es gratuita porque su formato es deliberadamente mínimo (3 plantillas, 4 trim sizes) — la colaboración no se ha monetizado como feature premium en ningún actor </w:t>
      </w:r>
      <w:r>
        <w:fldChar w:fldCharType="begin"/>
      </w:r>
      <w:r>
        <w:instrText>NOTEREF _Ref_Footnote_38 \h \f</w:instrText>
      </w:r>
      <w:r>
        <w:fldChar w:fldCharType="separate"/>
      </w:r>
      <w:r>
        <w:rPr>
          <w:vertAlign w:val="superscript"/>
        </w:rPr>
        <w:t>38</w:t>
      </w:r>
      <w:r>
        <w:fldChar w:fldCharType="end"/>
      </w:r>
      <w:r>
        <w:t>. La implicación para Anclora es directa: el segmento paga licencias de $59-250 por funcionalidad estática y tolera sus defectos porque no existe alternativa integrada; el primer competidor que combine composición seria con colaboración sin peaje e IA gobernada no necesita convencer al mercado de un nuevo problema, solo de una solución que ya está pidiendo a gritos en los foros de los tres incumbentes.</w:t>
      </w:r>
    </w:p>
    <w:p w14:paraId="14B14614" w14:textId="77777777" w:rsidR="00085C05" w:rsidRDefault="00000000">
      <w:pPr>
        <w:pStyle w:val="Heading3"/>
      </w:pPr>
      <w:bookmarkStart w:id="62" w:name="X22a169903fcd3c6b480a19e14ba6e872e9e65ea"/>
      <w:bookmarkEnd w:id="27"/>
      <w:r>
        <w:t>2.2 La ola IA-nativa: generación comoditizada, coherencia sin resolver</w:t>
      </w:r>
    </w:p>
    <w:p w14:paraId="6FDA34BF" w14:textId="77777777" w:rsidR="00085C05" w:rsidRDefault="00000000">
      <w:pPr>
        <w:pStyle w:val="FirstParagraph"/>
      </w:pPr>
      <w:r>
        <w:t>La segunda banda del mercado explotó entre 2024 y 2026 con la promesa “idea → ebook en minutos”, pero su análisis revela una paradoja: cuanta más capacidad de generación añaden, más visible es lo que no resuelven.</w:t>
      </w:r>
    </w:p>
    <w:p w14:paraId="2126682B" w14:textId="77777777" w:rsidR="00085C05" w:rsidRDefault="00000000">
      <w:pPr>
        <w:pStyle w:val="BodyText"/>
      </w:pPr>
      <w:r>
        <w:rPr>
          <w:b/>
          <w:bCs/>
        </w:rPr>
        <w:t>Designrr</w:t>
      </w:r>
      <w:r>
        <w:t xml:space="preserve"> es el incumbente del repurposing (blog/podcast/vídeo → ebook): importa URLs, Word, PDFs y transcripciones, y su capa IA (Wordgenie) redacta desde cero, formatea y convierte a audiolibro, por $29-99/mes </w:t>
      </w:r>
      <w:r>
        <w:rPr>
          <w:vertAlign w:val="superscript"/>
        </w:rPr>
        <w:footnoteReference w:id="48"/>
      </w:r>
      <w:r>
        <w:t xml:space="preserve"> </w:t>
      </w:r>
      <w:r>
        <w:rPr>
          <w:vertAlign w:val="superscript"/>
        </w:rPr>
        <w:footnoteReference w:id="49"/>
      </w:r>
      <w:r>
        <w:t xml:space="preserve">. Domina la “transformación” de contenido existente, no la creación: su editor es percibido como anticuado, sus plantillas genéricas con poco control granular, y el output de Wordgenie </w:t>
      </w:r>
      <w:r>
        <w:rPr>
          <w:b/>
          <w:bCs/>
        </w:rPr>
        <w:t>requiere edición humana intensiva</w:t>
      </w:r>
      <w:r>
        <w:t xml:space="preserve"> — no es publicable en crudo </w:t>
      </w:r>
      <w:r>
        <w:rPr>
          <w:vertAlign w:val="superscript"/>
        </w:rPr>
        <w:footnoteReference w:id="50"/>
      </w:r>
      <w:r>
        <w:t xml:space="preserve"> </w:t>
      </w:r>
      <w:r>
        <w:rPr>
          <w:vertAlign w:val="superscript"/>
        </w:rPr>
        <w:footnoteReference w:id="51"/>
      </w:r>
      <w:r>
        <w:t>. Es el competidor más cercano en positioning a un todo-en-uno, pero su motor de composición es rígido y basado en plantillas, sin gobernanza editorial de ningún tipo.</w:t>
      </w:r>
    </w:p>
    <w:p w14:paraId="5976F8EF" w14:textId="77777777" w:rsidR="00085C05" w:rsidRDefault="00000000">
      <w:pPr>
        <w:pStyle w:val="BodyText"/>
      </w:pPr>
      <w:r>
        <w:rPr>
          <w:b/>
          <w:bCs/>
        </w:rPr>
        <w:t>Los generadores one-click</w:t>
      </w:r>
      <w:r>
        <w:t xml:space="preserve"> (ebookmaker.ai, Automateed, BookBud, Youbooks, Squibler, Inkfluence) comparten el mismo techo: todos producen </w:t>
      </w:r>
      <w:r>
        <w:rPr>
          <w:b/>
          <w:bCs/>
        </w:rPr>
        <w:t>borradores, no productos finales</w:t>
      </w:r>
      <w:r>
        <w:t xml:space="preserve">, y su fallo nº 1 más citado es la incoherencia entre capítulos — “los capítulos se escriben aislados y el ebook resulta inconexo” </w:t>
      </w:r>
      <w:r>
        <w:rPr>
          <w:vertAlign w:val="superscript"/>
        </w:rPr>
        <w:footnoteReference w:id="52"/>
      </w:r>
      <w:r>
        <w:t xml:space="preserve">. El mercado ya está </w:t>
      </w:r>
      <w:r>
        <w:lastRenderedPageBreak/>
        <w:t xml:space="preserve">castigando esa incoherencia con datos: tasas de devolución 41% superiores en contenidos IA, 27% de lectores que declaran boicot a libros IA no etiquetados y 65% que prefieren libros “etiquetados como humanos” pagando hasta 15% más </w:t>
      </w:r>
      <w:r>
        <w:rPr>
          <w:vertAlign w:val="superscript"/>
        </w:rPr>
        <w:footnoteReference w:id="53"/>
      </w:r>
      <w:r>
        <w:t xml:space="preserve">. Amazon respondió con disclosure obligatorio de contenido IA generado y enforcement endurecido en 2025-2026 (revisiones de 3-7 días, sanciones a nivel de cuenta) </w:t>
      </w:r>
      <w:r>
        <w:rPr>
          <w:vertAlign w:val="superscript"/>
        </w:rPr>
        <w:footnoteReference w:id="54"/>
      </w:r>
      <w:r>
        <w:t xml:space="preserve"> </w:t>
      </w:r>
      <w:r>
        <w:rPr>
          <w:vertAlign w:val="superscript"/>
        </w:rPr>
        <w:footnoteReference w:id="55"/>
      </w:r>
      <w:r>
        <w:t xml:space="preserve">. La excepción a vigilar es </w:t>
      </w:r>
      <w:r>
        <w:rPr>
          <w:b/>
          <w:bCs/>
        </w:rPr>
        <w:t>Inkfluence AI</w:t>
      </w:r>
      <w:r>
        <w:t xml:space="preserve">, referencia de la nueva ola end-to-end: blueprint por género, continuidad entre capítulos, portadas IA, export KDP-ready, audiolibro ACX-spec y publicación directa a Etsy/Gumroad por $9,99-19,99/mes — indica hacia dónde se mueve el mercado </w:t>
      </w:r>
      <w:r>
        <w:fldChar w:fldCharType="begin"/>
      </w:r>
      <w:r>
        <w:instrText>NOTEREF _Ref_Footnote_52 \h \f</w:instrText>
      </w:r>
      <w:r>
        <w:fldChar w:fldCharType="separate"/>
      </w:r>
      <w:r>
        <w:rPr>
          <w:vertAlign w:val="superscript"/>
        </w:rPr>
        <w:t>52</w:t>
      </w:r>
      <w:r>
        <w:fldChar w:fldCharType="end"/>
      </w:r>
      <w:r>
        <w:t xml:space="preserve"> </w:t>
      </w:r>
      <w:r>
        <w:rPr>
          <w:vertAlign w:val="superscript"/>
        </w:rPr>
        <w:footnoteReference w:id="56"/>
      </w:r>
      <w:r>
        <w:t>.</w:t>
      </w:r>
    </w:p>
    <w:p w14:paraId="4438D552" w14:textId="77777777" w:rsidR="00085C05" w:rsidRDefault="00000000">
      <w:pPr>
        <w:pStyle w:val="BodyText"/>
      </w:pPr>
      <w:r>
        <w:rPr>
          <w:b/>
          <w:bCs/>
        </w:rPr>
        <w:t>Canva y Adobe Express</w:t>
      </w:r>
      <w:r>
        <w:t xml:space="preserve"> comoditizan el acabado visual de piezas cortas con Magic Write/Firefly, pero no exportan EPUB, no gestionan TOC ni capítulos y exigen gestión manual página a página: inviables para documentos largos </w:t>
      </w:r>
      <w:r>
        <w:rPr>
          <w:vertAlign w:val="superscript"/>
        </w:rPr>
        <w:footnoteReference w:id="57"/>
      </w:r>
      <w:r>
        <w:t xml:space="preserve"> </w:t>
      </w:r>
      <w:r>
        <w:rPr>
          <w:vertAlign w:val="superscript"/>
        </w:rPr>
        <w:footnoteReference w:id="58"/>
      </w:r>
      <w:r>
        <w:t xml:space="preserve">. </w:t>
      </w:r>
      <w:r>
        <w:rPr>
          <w:b/>
          <w:bCs/>
        </w:rPr>
        <w:t>Sudowrite y Novelcrafter</w:t>
      </w:r>
      <w:r>
        <w:t xml:space="preserve"> resuelven la asistencia de escritura larga en ficción (Story Bible, Codex) pero se detienen en el manuscrito: Sudowrite ni siquiera exporta PDF/EPUB/DOCX </w:t>
      </w:r>
      <w:r>
        <w:rPr>
          <w:vertAlign w:val="superscript"/>
        </w:rPr>
        <w:footnoteReference w:id="59"/>
      </w:r>
      <w:r>
        <w:t xml:space="preserve"> </w:t>
      </w:r>
      <w:r>
        <w:rPr>
          <w:vertAlign w:val="superscript"/>
        </w:rPr>
        <w:footnoteReference w:id="60"/>
      </w:r>
      <w:r>
        <w:t>. Cada categoría comoditiza una capa — acabado visual corto, prosa, portadas, TTS — sin tocar la arquitectura del documento largo.</w:t>
      </w:r>
    </w:p>
    <w:p w14:paraId="535C853A" w14:textId="77777777" w:rsidR="00085C05" w:rsidRDefault="00000000">
      <w:pPr>
        <w:pStyle w:val="BodyText"/>
      </w:pPr>
      <w:r>
        <w:rPr>
          <w:b/>
          <w:bCs/>
        </w:rPr>
        <w:t>2026 es el año agéntico, y eso fija el reloj.</w:t>
      </w:r>
      <w:r>
        <w:t xml:space="preserve"> Gartner proyecta que el 40% de las aplicaciones empresariales incorporarán agentes IA de tarea específica en 2026, frente a menos del 5% en 2025 </w:t>
      </w:r>
      <w:r>
        <w:fldChar w:fldCharType="begin"/>
      </w:r>
      <w:r>
        <w:instrText>NOTEREF _Ref_Footnote_8 \h \f</w:instrText>
      </w:r>
      <w:r>
        <w:fldChar w:fldCharType="separate"/>
      </w:r>
      <w:r>
        <w:t>8</w:t>
      </w:r>
      <w:r>
        <w:fldChar w:fldCharType="end"/>
      </w:r>
      <w:r>
        <w:t xml:space="preserve">. El patrón del mercado ya pasó de “prompt → output” a sistemas multiagente con puertas de aprobación humana (la arquitectura de Youbooks, los agentes de Jasper) </w:t>
      </w:r>
      <w:r>
        <w:fldChar w:fldCharType="begin"/>
      </w:r>
      <w:r>
        <w:instrText>NOTEREF _Ref_Footnote_32 \h \f</w:instrText>
      </w:r>
      <w:r>
        <w:fldChar w:fldCharType="separate"/>
      </w:r>
      <w:r>
        <w:rPr>
          <w:vertAlign w:val="superscript"/>
        </w:rPr>
        <w:t>32</w:t>
      </w:r>
      <w:r>
        <w:fldChar w:fldCharType="end"/>
      </w:r>
      <w:r>
        <w:t xml:space="preserve"> </w:t>
      </w:r>
      <w:r>
        <w:rPr>
          <w:vertAlign w:val="superscript"/>
        </w:rPr>
        <w:footnoteReference w:id="61"/>
      </w:r>
      <w:r>
        <w:t xml:space="preserve"> </w:t>
      </w:r>
      <w:r>
        <w:rPr>
          <w:vertAlign w:val="superscript"/>
        </w:rPr>
        <w:footnoteReference w:id="62"/>
      </w:r>
      <w:r>
        <w:t>. La amenaza no es que un generador escriba mejor — eso ya es commodity — sino que un end-to-end de &lt;$20/mes añada coherencia estructural y gobernanza antes de que Anclora ocupe ese espacio. Eso fija una ventana de diferenciación de ~12 meses.</w:t>
      </w:r>
    </w:p>
    <w:tbl>
      <w:tblPr>
        <w:tblStyle w:val="Table"/>
        <w:tblW w:w="5000" w:type="pct"/>
        <w:tblLook w:val="0020" w:firstRow="1" w:lastRow="0" w:firstColumn="0" w:lastColumn="0" w:noHBand="0" w:noVBand="0"/>
      </w:tblPr>
      <w:tblGrid>
        <w:gridCol w:w="1719"/>
        <w:gridCol w:w="2736"/>
        <w:gridCol w:w="2341"/>
        <w:gridCol w:w="2258"/>
      </w:tblGrid>
      <w:tr w:rsidR="00085C05" w14:paraId="4509114F"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1F6FE521" w14:textId="77777777" w:rsidR="00085C05" w:rsidRDefault="00000000">
            <w:pPr>
              <w:pStyle w:val="Compact"/>
            </w:pPr>
            <w:r>
              <w:t>Categoría</w:t>
            </w:r>
          </w:p>
        </w:tc>
        <w:tc>
          <w:tcPr>
            <w:tcW w:w="0" w:type="auto"/>
          </w:tcPr>
          <w:p w14:paraId="22B5DB69" w14:textId="77777777" w:rsidR="00085C05" w:rsidRDefault="00000000">
            <w:pPr>
              <w:pStyle w:val="Compact"/>
            </w:pPr>
            <w:r>
              <w:t>Actores y precio</w:t>
            </w:r>
          </w:p>
        </w:tc>
        <w:tc>
          <w:tcPr>
            <w:tcW w:w="0" w:type="auto"/>
          </w:tcPr>
          <w:p w14:paraId="35AF1C5E" w14:textId="77777777" w:rsidR="00085C05" w:rsidRDefault="00000000">
            <w:pPr>
              <w:pStyle w:val="Compact"/>
            </w:pPr>
            <w:r>
              <w:t>Qué comoditiza</w:t>
            </w:r>
          </w:p>
        </w:tc>
        <w:tc>
          <w:tcPr>
            <w:tcW w:w="0" w:type="auto"/>
          </w:tcPr>
          <w:p w14:paraId="19E01818" w14:textId="77777777" w:rsidR="00085C05" w:rsidRDefault="00000000">
            <w:pPr>
              <w:pStyle w:val="Compact"/>
            </w:pPr>
            <w:r>
              <w:t>Qué NO resuelve</w:t>
            </w:r>
          </w:p>
        </w:tc>
      </w:tr>
      <w:tr w:rsidR="00085C05" w14:paraId="6FAD4BEB" w14:textId="77777777">
        <w:tc>
          <w:tcPr>
            <w:tcW w:w="0" w:type="auto"/>
          </w:tcPr>
          <w:p w14:paraId="07E9CD35" w14:textId="77777777" w:rsidR="00085C05" w:rsidRDefault="00000000">
            <w:pPr>
              <w:pStyle w:val="Compact"/>
            </w:pPr>
            <w:r>
              <w:t>Repurposing</w:t>
            </w:r>
          </w:p>
        </w:tc>
        <w:tc>
          <w:tcPr>
            <w:tcW w:w="0" w:type="auto"/>
          </w:tcPr>
          <w:p w14:paraId="2F722500" w14:textId="77777777" w:rsidR="00085C05" w:rsidRDefault="00000000">
            <w:pPr>
              <w:pStyle w:val="Compact"/>
            </w:pPr>
            <w:r>
              <w:t xml:space="preserve">Designrr $29-99/mes </w:t>
            </w:r>
            <w:r>
              <w:fldChar w:fldCharType="begin"/>
            </w:r>
            <w:r>
              <w:instrText>NOTEREF _Ref_Footnote_34 \h \f</w:instrText>
            </w:r>
            <w:r>
              <w:fldChar w:fldCharType="separate"/>
            </w:r>
            <w:r>
              <w:rPr>
                <w:vertAlign w:val="superscript"/>
              </w:rPr>
              <w:t>34</w:t>
            </w:r>
            <w:r>
              <w:fldChar w:fldCharType="end"/>
            </w:r>
          </w:p>
        </w:tc>
        <w:tc>
          <w:tcPr>
            <w:tcW w:w="0" w:type="auto"/>
          </w:tcPr>
          <w:p w14:paraId="49023410" w14:textId="77777777" w:rsidR="00085C05" w:rsidRDefault="00000000">
            <w:pPr>
              <w:pStyle w:val="Compact"/>
            </w:pPr>
            <w:r>
              <w:t xml:space="preserve">Transcripción, reempaquetado, </w:t>
            </w:r>
            <w:r>
              <w:lastRenderedPageBreak/>
              <w:t>plantillas</w:t>
            </w:r>
          </w:p>
        </w:tc>
        <w:tc>
          <w:tcPr>
            <w:tcW w:w="0" w:type="auto"/>
          </w:tcPr>
          <w:p w14:paraId="74941317" w14:textId="77777777" w:rsidR="00085C05" w:rsidRDefault="00000000">
            <w:pPr>
              <w:pStyle w:val="Compact"/>
            </w:pPr>
            <w:r>
              <w:lastRenderedPageBreak/>
              <w:t xml:space="preserve">Gobernanza editorial, </w:t>
            </w:r>
            <w:r>
              <w:lastRenderedPageBreak/>
              <w:t xml:space="preserve">composición seria, editor moderno </w:t>
            </w:r>
            <w:r>
              <w:fldChar w:fldCharType="begin"/>
            </w:r>
            <w:r>
              <w:instrText>NOTEREF _Ref_Footnote_50 \h \f</w:instrText>
            </w:r>
            <w:r>
              <w:fldChar w:fldCharType="separate"/>
            </w:r>
            <w:r>
              <w:rPr>
                <w:vertAlign w:val="superscript"/>
              </w:rPr>
              <w:t>50</w:t>
            </w:r>
            <w:r>
              <w:fldChar w:fldCharType="end"/>
            </w:r>
          </w:p>
        </w:tc>
      </w:tr>
      <w:tr w:rsidR="00085C05" w14:paraId="4E0878FE" w14:textId="77777777">
        <w:tc>
          <w:tcPr>
            <w:tcW w:w="0" w:type="auto"/>
          </w:tcPr>
          <w:p w14:paraId="66466C3B" w14:textId="77777777" w:rsidR="00085C05" w:rsidRDefault="00000000">
            <w:pPr>
              <w:pStyle w:val="Compact"/>
            </w:pPr>
            <w:r>
              <w:lastRenderedPageBreak/>
              <w:t>Generadores one-click</w:t>
            </w:r>
          </w:p>
        </w:tc>
        <w:tc>
          <w:tcPr>
            <w:tcW w:w="0" w:type="auto"/>
          </w:tcPr>
          <w:p w14:paraId="36B308FF" w14:textId="77777777" w:rsidR="00085C05" w:rsidRDefault="00000000">
            <w:pPr>
              <w:pStyle w:val="Compact"/>
            </w:pPr>
            <w:r>
              <w:t xml:space="preserve">ebookmaker $19,90-59,90/mes; Automateed $15-50/mes; Inkfluence $9,99-19,99/mes </w:t>
            </w:r>
            <w:r>
              <w:fldChar w:fldCharType="begin"/>
            </w:r>
            <w:r>
              <w:instrText>NOTEREF _Ref_Footnote_20 \h \f</w:instrText>
            </w:r>
            <w:r>
              <w:fldChar w:fldCharType="separate"/>
            </w:r>
            <w:r>
              <w:rPr>
                <w:vertAlign w:val="superscript"/>
              </w:rPr>
              <w:t>20</w:t>
            </w:r>
            <w:r>
              <w:fldChar w:fldCharType="end"/>
            </w:r>
            <w:r>
              <w:t xml:space="preserve"> </w:t>
            </w:r>
            <w:r>
              <w:rPr>
                <w:vertAlign w:val="superscript"/>
              </w:rPr>
              <w:footnoteReference w:id="63"/>
            </w:r>
            <w:r>
              <w:t xml:space="preserve"> </w:t>
            </w:r>
            <w:r>
              <w:fldChar w:fldCharType="begin"/>
            </w:r>
            <w:r>
              <w:instrText>NOTEREF _Ref_Footnote_52 \h \f</w:instrText>
            </w:r>
            <w:r>
              <w:fldChar w:fldCharType="separate"/>
            </w:r>
            <w:r>
              <w:rPr>
                <w:vertAlign w:val="superscript"/>
              </w:rPr>
              <w:t>52</w:t>
            </w:r>
            <w:r>
              <w:fldChar w:fldCharType="end"/>
            </w:r>
          </w:p>
        </w:tc>
        <w:tc>
          <w:tcPr>
            <w:tcW w:w="0" w:type="auto"/>
          </w:tcPr>
          <w:p w14:paraId="0D6CF841" w14:textId="77777777" w:rsidR="00085C05" w:rsidRDefault="00000000">
            <w:pPr>
              <w:pStyle w:val="Compact"/>
            </w:pPr>
            <w:r>
              <w:t>Borrador completo, portada, EPUB básico</w:t>
            </w:r>
          </w:p>
        </w:tc>
        <w:tc>
          <w:tcPr>
            <w:tcW w:w="0" w:type="auto"/>
          </w:tcPr>
          <w:p w14:paraId="287C9262" w14:textId="77777777" w:rsidR="00085C05" w:rsidRDefault="00000000">
            <w:pPr>
              <w:pStyle w:val="Compact"/>
            </w:pPr>
            <w:r>
              <w:rPr>
                <w:b/>
                <w:bCs/>
              </w:rPr>
              <w:t>Coherencia entre capítulos</w:t>
            </w:r>
            <w:r>
              <w:t xml:space="preserve">, calidad publicable </w:t>
            </w:r>
            <w:r>
              <w:fldChar w:fldCharType="begin"/>
            </w:r>
            <w:r>
              <w:instrText>NOTEREF _Ref_Footnote_52 \h \f</w:instrText>
            </w:r>
            <w:r>
              <w:fldChar w:fldCharType="separate"/>
            </w:r>
            <w:r>
              <w:rPr>
                <w:vertAlign w:val="superscript"/>
              </w:rPr>
              <w:t>52</w:t>
            </w:r>
            <w:r>
              <w:fldChar w:fldCharType="end"/>
            </w:r>
            <w:r>
              <w:t xml:space="preserve"> </w:t>
            </w:r>
            <w:r>
              <w:fldChar w:fldCharType="begin"/>
            </w:r>
            <w:r>
              <w:instrText>NOTEREF _Ref_Footnote_53 \h \f</w:instrText>
            </w:r>
            <w:r>
              <w:fldChar w:fldCharType="separate"/>
            </w:r>
            <w:r>
              <w:rPr>
                <w:vertAlign w:val="superscript"/>
              </w:rPr>
              <w:t>53</w:t>
            </w:r>
            <w:r>
              <w:fldChar w:fldCharType="end"/>
            </w:r>
          </w:p>
        </w:tc>
      </w:tr>
      <w:tr w:rsidR="00085C05" w14:paraId="7A5F2EA4" w14:textId="77777777">
        <w:tc>
          <w:tcPr>
            <w:tcW w:w="0" w:type="auto"/>
          </w:tcPr>
          <w:p w14:paraId="36167560" w14:textId="77777777" w:rsidR="00085C05" w:rsidRDefault="00000000">
            <w:pPr>
              <w:pStyle w:val="Compact"/>
            </w:pPr>
            <w:r>
              <w:t>Diseño generalista</w:t>
            </w:r>
          </w:p>
        </w:tc>
        <w:tc>
          <w:tcPr>
            <w:tcW w:w="0" w:type="auto"/>
          </w:tcPr>
          <w:p w14:paraId="16A1BA32" w14:textId="77777777" w:rsidR="00085C05" w:rsidRDefault="00000000">
            <w:pPr>
              <w:pStyle w:val="Compact"/>
            </w:pPr>
            <w:r>
              <w:t xml:space="preserve">Canva / Adobe Express (free + Pro) </w:t>
            </w:r>
            <w:r>
              <w:fldChar w:fldCharType="begin"/>
            </w:r>
            <w:r>
              <w:instrText>NOTEREF _Ref_Footnote_22 \h \f</w:instrText>
            </w:r>
            <w:r>
              <w:fldChar w:fldCharType="separate"/>
            </w:r>
            <w:r>
              <w:rPr>
                <w:vertAlign w:val="superscript"/>
              </w:rPr>
              <w:t>22</w:t>
            </w:r>
            <w:r>
              <w:fldChar w:fldCharType="end"/>
            </w:r>
            <w:r>
              <w:t xml:space="preserve"> </w:t>
            </w:r>
            <w:r>
              <w:fldChar w:fldCharType="begin"/>
            </w:r>
            <w:r>
              <w:instrText>NOTEREF _Ref_Footnote_31 \h \f</w:instrText>
            </w:r>
            <w:r>
              <w:fldChar w:fldCharType="separate"/>
            </w:r>
            <w:r>
              <w:rPr>
                <w:vertAlign w:val="superscript"/>
              </w:rPr>
              <w:t>31</w:t>
            </w:r>
            <w:r>
              <w:fldChar w:fldCharType="end"/>
            </w:r>
          </w:p>
        </w:tc>
        <w:tc>
          <w:tcPr>
            <w:tcW w:w="0" w:type="auto"/>
          </w:tcPr>
          <w:p w14:paraId="5570CD3B" w14:textId="77777777" w:rsidR="00085C05" w:rsidRDefault="00000000">
            <w:pPr>
              <w:pStyle w:val="Compact"/>
            </w:pPr>
            <w:r>
              <w:t>Acabado visual de piezas cortas</w:t>
            </w:r>
          </w:p>
        </w:tc>
        <w:tc>
          <w:tcPr>
            <w:tcW w:w="0" w:type="auto"/>
          </w:tcPr>
          <w:p w14:paraId="637E2BB2" w14:textId="77777777" w:rsidR="00085C05" w:rsidRDefault="00000000">
            <w:pPr>
              <w:pStyle w:val="Compact"/>
            </w:pPr>
            <w:r>
              <w:t xml:space="preserve">EPUB, TOC, documento largo </w:t>
            </w:r>
            <w:r>
              <w:fldChar w:fldCharType="begin"/>
            </w:r>
            <w:r>
              <w:instrText>NOTEREF _Ref_Footnote_58 \h \f</w:instrText>
            </w:r>
            <w:r>
              <w:fldChar w:fldCharType="separate"/>
            </w:r>
            <w:r>
              <w:rPr>
                <w:vertAlign w:val="superscript"/>
              </w:rPr>
              <w:t>58</w:t>
            </w:r>
            <w:r>
              <w:fldChar w:fldCharType="end"/>
            </w:r>
          </w:p>
        </w:tc>
      </w:tr>
      <w:tr w:rsidR="00085C05" w14:paraId="46664C04" w14:textId="77777777">
        <w:tc>
          <w:tcPr>
            <w:tcW w:w="0" w:type="auto"/>
          </w:tcPr>
          <w:p w14:paraId="308D47C2" w14:textId="77777777" w:rsidR="00085C05" w:rsidRDefault="00000000">
            <w:pPr>
              <w:pStyle w:val="Compact"/>
            </w:pPr>
            <w:r>
              <w:t>Asistencia escritura larga</w:t>
            </w:r>
          </w:p>
        </w:tc>
        <w:tc>
          <w:tcPr>
            <w:tcW w:w="0" w:type="auto"/>
          </w:tcPr>
          <w:p w14:paraId="3706B2D2" w14:textId="77777777" w:rsidR="00085C05" w:rsidRDefault="00000000">
            <w:pPr>
              <w:pStyle w:val="Compact"/>
            </w:pPr>
            <w:r>
              <w:t xml:space="preserve">Sudowrite $19-59/mes; Novelcrafter $4-20/mes BYOK </w:t>
            </w:r>
            <w:r>
              <w:rPr>
                <w:vertAlign w:val="superscript"/>
              </w:rPr>
              <w:footnoteReference w:id="64"/>
            </w:r>
            <w:r>
              <w:t xml:space="preserve"> </w:t>
            </w:r>
            <w:r>
              <w:rPr>
                <w:vertAlign w:val="superscript"/>
              </w:rPr>
              <w:footnoteReference w:id="65"/>
            </w:r>
          </w:p>
        </w:tc>
        <w:tc>
          <w:tcPr>
            <w:tcW w:w="0" w:type="auto"/>
          </w:tcPr>
          <w:p w14:paraId="1706F7DC" w14:textId="77777777" w:rsidR="00085C05" w:rsidRDefault="00000000">
            <w:pPr>
              <w:pStyle w:val="Compact"/>
            </w:pPr>
            <w:r>
              <w:t>Prosa, story bible, coherencia narrativa ficción</w:t>
            </w:r>
          </w:p>
        </w:tc>
        <w:tc>
          <w:tcPr>
            <w:tcW w:w="0" w:type="auto"/>
          </w:tcPr>
          <w:p w14:paraId="015F7709" w14:textId="77777777" w:rsidR="00085C05" w:rsidRDefault="00000000">
            <w:pPr>
              <w:pStyle w:val="Compact"/>
            </w:pPr>
            <w:r>
              <w:t xml:space="preserve">Export editorial, composición, no-ficción </w:t>
            </w:r>
            <w:r>
              <w:fldChar w:fldCharType="begin"/>
            </w:r>
            <w:r>
              <w:instrText>NOTEREF _Ref_Footnote_59 \h \f</w:instrText>
            </w:r>
            <w:r>
              <w:fldChar w:fldCharType="separate"/>
            </w:r>
            <w:r>
              <w:rPr>
                <w:vertAlign w:val="superscript"/>
              </w:rPr>
              <w:t>59</w:t>
            </w:r>
            <w:r>
              <w:fldChar w:fldCharType="end"/>
            </w:r>
            <w:r>
              <w:t xml:space="preserve"> </w:t>
            </w:r>
            <w:r>
              <w:rPr>
                <w:vertAlign w:val="superscript"/>
              </w:rPr>
              <w:footnoteReference w:id="66"/>
            </w:r>
          </w:p>
        </w:tc>
      </w:tr>
      <w:tr w:rsidR="00085C05" w14:paraId="00F53957" w14:textId="77777777">
        <w:tc>
          <w:tcPr>
            <w:tcW w:w="0" w:type="auto"/>
          </w:tcPr>
          <w:p w14:paraId="5D7F14B0" w14:textId="77777777" w:rsidR="00085C05" w:rsidRDefault="00000000">
            <w:pPr>
              <w:pStyle w:val="Compact"/>
            </w:pPr>
            <w:r>
              <w:t>Tendencia 2026</w:t>
            </w:r>
          </w:p>
        </w:tc>
        <w:tc>
          <w:tcPr>
            <w:tcW w:w="0" w:type="auto"/>
          </w:tcPr>
          <w:p w14:paraId="6F498411" w14:textId="77777777" w:rsidR="00085C05" w:rsidRDefault="00000000">
            <w:pPr>
              <w:pStyle w:val="Compact"/>
            </w:pPr>
            <w:r>
              <w:t xml:space="preserve">Agentes multiagente (Youbooks, Jasper) </w:t>
            </w:r>
            <w:r>
              <w:rPr>
                <w:vertAlign w:val="superscript"/>
              </w:rPr>
              <w:footnoteReference w:id="67"/>
            </w:r>
            <w:r>
              <w:t xml:space="preserve"> </w:t>
            </w:r>
            <w:r>
              <w:fldChar w:fldCharType="begin"/>
            </w:r>
            <w:r>
              <w:instrText>NOTEREF _Ref_Footnote_62 \h \f</w:instrText>
            </w:r>
            <w:r>
              <w:fldChar w:fldCharType="separate"/>
            </w:r>
            <w:r>
              <w:rPr>
                <w:vertAlign w:val="superscript"/>
              </w:rPr>
              <w:t>62</w:t>
            </w:r>
            <w:r>
              <w:fldChar w:fldCharType="end"/>
            </w:r>
          </w:p>
        </w:tc>
        <w:tc>
          <w:tcPr>
            <w:tcW w:w="0" w:type="auto"/>
          </w:tcPr>
          <w:p w14:paraId="725C8219" w14:textId="77777777" w:rsidR="00085C05" w:rsidRDefault="00000000">
            <w:pPr>
              <w:pStyle w:val="Compact"/>
            </w:pPr>
            <w:r>
              <w:t>Orquestación de tareas</w:t>
            </w:r>
          </w:p>
        </w:tc>
        <w:tc>
          <w:tcPr>
            <w:tcW w:w="0" w:type="auto"/>
          </w:tcPr>
          <w:p w14:paraId="61F7F815" w14:textId="77777777" w:rsidR="00085C05" w:rsidRDefault="00000000">
            <w:pPr>
              <w:pStyle w:val="Compact"/>
            </w:pPr>
            <w:r>
              <w:t>Aún no integrada en editores de producto digital</w:t>
            </w:r>
          </w:p>
        </w:tc>
      </w:tr>
    </w:tbl>
    <w:p w14:paraId="5AA56DCF" w14:textId="77777777" w:rsidR="00085C05" w:rsidRDefault="00000000">
      <w:pPr>
        <w:pStyle w:val="BodyText"/>
      </w:pPr>
      <w:r>
        <w:t xml:space="preserve">La lectura estratégica de esta ola es asimétrica. En generación de contenido, competir es guerra de precio contra free tiers: ideación, drafting, portadas, traducción y TTS ya son abundantes y baratos </w:t>
      </w:r>
      <w:r>
        <w:fldChar w:fldCharType="begin"/>
      </w:r>
      <w:r>
        <w:instrText>NOTEREF _Ref_Footnote_16 \h \f</w:instrText>
      </w:r>
      <w:r>
        <w:fldChar w:fldCharType="separate"/>
      </w:r>
      <w:r>
        <w:rPr>
          <w:vertAlign w:val="superscript"/>
        </w:rPr>
        <w:t>16</w:t>
      </w:r>
      <w:r>
        <w:fldChar w:fldCharType="end"/>
      </w:r>
      <w:r>
        <w:t xml:space="preserve"> </w:t>
      </w:r>
      <w:r>
        <w:rPr>
          <w:vertAlign w:val="superscript"/>
        </w:rPr>
        <w:footnoteReference w:id="68"/>
      </w:r>
      <w:r>
        <w:t xml:space="preserve">. El outlier es la coherencia estructural: solo existen aproximaciones de story bible en ficción, y nadie gestiona el documento como objeto estructurado gobernado por reglas </w:t>
      </w:r>
      <w:r>
        <w:fldChar w:fldCharType="begin"/>
      </w:r>
      <w:r>
        <w:instrText>NOTEREF _Ref_Footnote_16 \h \f</w:instrText>
      </w:r>
      <w:r>
        <w:fldChar w:fldCharType="separate"/>
      </w:r>
      <w:r>
        <w:rPr>
          <w:vertAlign w:val="superscript"/>
        </w:rPr>
        <w:t>16</w:t>
      </w:r>
      <w:r>
        <w:fldChar w:fldCharType="end"/>
      </w:r>
      <w:r>
        <w:t xml:space="preserve"> </w:t>
      </w:r>
      <w:r>
        <w:fldChar w:fldCharType="begin"/>
      </w:r>
      <w:r>
        <w:instrText>NOTEREF _Ref_Footnote_66 \h \f</w:instrText>
      </w:r>
      <w:r>
        <w:fldChar w:fldCharType="separate"/>
      </w:r>
      <w:r>
        <w:rPr>
          <w:vertAlign w:val="superscript"/>
        </w:rPr>
        <w:t>66</w:t>
      </w:r>
      <w:r>
        <w:fldChar w:fldCharType="end"/>
      </w:r>
      <w:r>
        <w:t xml:space="preserve">. Para Anclora, la conclusión no es “añadir IA” sino dónde enchufarla: la IA debe operar dentro de un motor que ya entiende la estructura del libro — capítulos, referencias, reglas de composición — porque esa es exactamente la capa que los generadores no pueden replicar sin años de profundidad de dominio editorial. El backlash del mercado (devoluciones +41%, boicot de lectores) premia al actor que convierta la IA en co-autor gobernado, no en botón mágico </w:t>
      </w:r>
      <w:r>
        <w:fldChar w:fldCharType="begin"/>
      </w:r>
      <w:r>
        <w:instrText>NOTEREF _Ref_Footnote_53 \h \f</w:instrText>
      </w:r>
      <w:r>
        <w:fldChar w:fldCharType="separate"/>
      </w:r>
      <w:r>
        <w:rPr>
          <w:vertAlign w:val="superscript"/>
        </w:rPr>
        <w:t>53</w:t>
      </w:r>
      <w:r>
        <w:fldChar w:fldCharType="end"/>
      </w:r>
      <w:r>
        <w:t>. ### 2.3 Distribución y monetización: el eslabón que nadie integra</w:t>
      </w:r>
    </w:p>
    <w:p w14:paraId="177288AD" w14:textId="77777777" w:rsidR="00085C05" w:rsidRDefault="00000000">
      <w:pPr>
        <w:pStyle w:val="BodyText"/>
      </w:pPr>
      <w:r>
        <w:t>La tercera banda del mercado resuelve la venta, pero deliberadamente no toca la creación. Esa división de trabajo, cómoda para cada actor, es el coste oculto que el creador paga en herramientas, tiempo y formato rehecho por canal.</w:t>
      </w:r>
    </w:p>
    <w:p w14:paraId="1FF21810" w14:textId="77777777" w:rsidR="00085C05" w:rsidRDefault="00000000">
      <w:pPr>
        <w:pStyle w:val="BodyText"/>
      </w:pPr>
      <w:r>
        <w:rPr>
          <w:b/>
          <w:bCs/>
        </w:rPr>
        <w:t>Las plataformas checkout-first</w:t>
      </w:r>
      <w:r>
        <w:t xml:space="preserve"> compiten en comisiones, no en producto: Gumroad (10% + procesamiento, ~13-15,9% de coste efectivo, pero Merchant of Record desde enero de 2025), Lemon Squeezy (5% + $0,50 con extras apilados; adquirida por Stripe </w:t>
      </w:r>
      <w:r>
        <w:lastRenderedPageBreak/>
        <w:t xml:space="preserve">en julio de 2024), Payhip (5%/2%/0% según plan) y Sellfy (suscripción $22-119/mes con 0% de comisión) </w:t>
      </w:r>
      <w:r>
        <w:rPr>
          <w:vertAlign w:val="superscript"/>
        </w:rPr>
        <w:footnoteReference w:id="69"/>
      </w:r>
      <w:r>
        <w:t xml:space="preserve"> </w:t>
      </w:r>
      <w:r>
        <w:rPr>
          <w:vertAlign w:val="superscript"/>
        </w:rPr>
        <w:footnoteReference w:id="70"/>
      </w:r>
      <w:r>
        <w:t xml:space="preserve"> </w:t>
      </w:r>
      <w:r>
        <w:rPr>
          <w:vertAlign w:val="superscript"/>
        </w:rPr>
        <w:footnoteReference w:id="71"/>
      </w:r>
      <w:r>
        <w:t xml:space="preserve"> </w:t>
      </w:r>
      <w:r>
        <w:rPr>
          <w:vertAlign w:val="superscript"/>
        </w:rPr>
        <w:footnoteReference w:id="72"/>
      </w:r>
      <w:r>
        <w:t xml:space="preserve"> </w:t>
      </w:r>
      <w:r>
        <w:rPr>
          <w:vertAlign w:val="superscript"/>
        </w:rPr>
        <w:footnoteReference w:id="73"/>
      </w:r>
      <w:r>
        <w:t xml:space="preserve"> </w:t>
      </w:r>
      <w:r>
        <w:rPr>
          <w:vertAlign w:val="superscript"/>
        </w:rPr>
        <w:footnoteReference w:id="74"/>
      </w:r>
      <w:r>
        <w:t xml:space="preserve">. Todas venden productos digitales acabados; ninguna ofrece ni un editor de contenido mínimo. </w:t>
      </w:r>
      <w:r>
        <w:rPr>
          <w:b/>
          <w:bCs/>
        </w:rPr>
        <w:t>Las all-in-one de conocimiento</w:t>
      </w:r>
      <w:r>
        <w:t xml:space="preserve"> (Kajabi $143/mes tras la subida efectiva de enero de 2026, Podia, Teachable, Stan Store) incluyen hosting y course builders, pero su “creación” es estructurar lecciones: </w:t>
      </w:r>
      <w:r>
        <w:rPr>
          <w:b/>
          <w:bCs/>
        </w:rPr>
        <w:t>ninguna tiene una herramienta de autoría editorial real</w:t>
      </w:r>
      <w:r>
        <w:t xml:space="preserve"> — el ebook se fabrica fuera y se sube como archivo </w:t>
      </w:r>
      <w:r>
        <w:fldChar w:fldCharType="begin"/>
      </w:r>
      <w:r>
        <w:instrText>NOTEREF _Ref_Footnote_25 \h \f</w:instrText>
      </w:r>
      <w:r>
        <w:fldChar w:fldCharType="separate"/>
      </w:r>
      <w:r>
        <w:rPr>
          <w:vertAlign w:val="superscript"/>
        </w:rPr>
        <w:t>25</w:t>
      </w:r>
      <w:r>
        <w:fldChar w:fldCharType="end"/>
      </w:r>
      <w:r>
        <w:t xml:space="preserve"> </w:t>
      </w:r>
      <w:r>
        <w:fldChar w:fldCharType="begin"/>
      </w:r>
      <w:r>
        <w:instrText>NOTEREF _Ref_Footnote_43 \h \f</w:instrText>
      </w:r>
      <w:r>
        <w:fldChar w:fldCharType="separate"/>
      </w:r>
      <w:r>
        <w:rPr>
          <w:vertAlign w:val="superscript"/>
        </w:rPr>
        <w:t>43</w:t>
      </w:r>
      <w:r>
        <w:fldChar w:fldCharType="end"/>
      </w:r>
      <w:r>
        <w:t xml:space="preserve"> </w:t>
      </w:r>
      <w:r>
        <w:rPr>
          <w:vertAlign w:val="superscript"/>
        </w:rPr>
        <w:footnoteReference w:id="75"/>
      </w:r>
      <w:r>
        <w:t xml:space="preserve"> </w:t>
      </w:r>
      <w:r>
        <w:rPr>
          <w:vertAlign w:val="superscript"/>
        </w:rPr>
        <w:footnoteReference w:id="76"/>
      </w:r>
      <w:r>
        <w:t xml:space="preserve">. La apuesta de contenido de Kajabi (Creator Studio) es repurposing de marketing con IA, no creación editorial </w:t>
      </w:r>
      <w:r>
        <w:rPr>
          <w:vertAlign w:val="superscript"/>
        </w:rPr>
        <w:footnoteReference w:id="77"/>
      </w:r>
      <w:r>
        <w:t>.</w:t>
      </w:r>
    </w:p>
    <w:p w14:paraId="2591CEAB" w14:textId="77777777" w:rsidR="00085C05" w:rsidRDefault="00000000">
      <w:pPr>
        <w:pStyle w:val="BodyText"/>
      </w:pPr>
      <w:r>
        <w:rPr>
          <w:b/>
          <w:bCs/>
        </w:rPr>
        <w:t>El retail editorial, por su parte, endurece requisitos.</w:t>
      </w:r>
      <w:r>
        <w:t xml:space="preserve"> KDP acepta EPUB, DOCX o KPF; el formato MOBI quedó descontinuado también para fixed-layout el 18 de marzo de 2025, y el PDF solo vale para print </w:t>
      </w:r>
      <w:r>
        <w:rPr>
          <w:vertAlign w:val="superscript"/>
        </w:rPr>
        <w:footnoteReference w:id="78"/>
      </w:r>
      <w:r>
        <w:t xml:space="preserve"> </w:t>
      </w:r>
      <w:r>
        <w:fldChar w:fldCharType="begin"/>
      </w:r>
      <w:r>
        <w:instrText>NOTEREF _Ref_Footnote_67 \h \f</w:instrText>
      </w:r>
      <w:r>
        <w:fldChar w:fldCharType="separate"/>
      </w:r>
      <w:r>
        <w:rPr>
          <w:vertAlign w:val="superscript"/>
        </w:rPr>
        <w:t>67</w:t>
      </w:r>
      <w:r>
        <w:fldChar w:fldCharType="end"/>
      </w:r>
      <w:r>
        <w:t xml:space="preserve">. Además, el disclosure de contenido IA generado (texto, imágenes, traducciones) es obligatorio en el flujo de publicación, con enforcement a nivel de cuenta desde 2025 </w:t>
      </w:r>
      <w:r>
        <w:rPr>
          <w:vertAlign w:val="superscript"/>
        </w:rPr>
        <w:footnoteReference w:id="79"/>
      </w:r>
      <w:r>
        <w:t xml:space="preserve">. La ruta “wide” (Kobo, Apple, Google Play, bibliotecas) pasa por Draft2Digital, gratis con 10% sobre royalties y un formateador básico por plantillas que pierde footnotes y saltos de escena: es el actor que más se acerca a “maquetación + distribución”, pero sin autoría </w:t>
      </w:r>
      <w:r>
        <w:rPr>
          <w:vertAlign w:val="superscript"/>
        </w:rPr>
        <w:footnoteReference w:id="80"/>
      </w:r>
      <w:r>
        <w:t xml:space="preserve"> </w:t>
      </w:r>
      <w:r>
        <w:rPr>
          <w:vertAlign w:val="superscript"/>
        </w:rPr>
        <w:footnoteReference w:id="81"/>
      </w:r>
      <w:r>
        <w:t>.</w:t>
      </w:r>
    </w:p>
    <w:p w14:paraId="65B23A14" w14:textId="77777777" w:rsidR="00085C05" w:rsidRDefault="00000000">
      <w:pPr>
        <w:pStyle w:val="BodyText"/>
      </w:pPr>
      <w:r>
        <w:rPr>
          <w:b/>
          <w:bCs/>
        </w:rPr>
        <w:t>El resultado es el stack real del creador: un mosaico de 4-6 herramientas con transiciones manuales.</w:t>
      </w:r>
      <w:r>
        <w:t xml:space="preserve"> Escritura en Scrivener/Docs, corrección en Grammarly/ProWritingAid, maquetación en Atticus/Vellum, portada en Canva, venta en KDP + Gumroad </w:t>
      </w:r>
      <w:r>
        <w:rPr>
          <w:vertAlign w:val="superscript"/>
        </w:rPr>
        <w:footnoteReference w:id="82"/>
      </w:r>
      <w:r>
        <w:t xml:space="preserve"> </w:t>
      </w:r>
      <w:r>
        <w:rPr>
          <w:vertAlign w:val="superscript"/>
        </w:rPr>
        <w:footnoteReference w:id="83"/>
      </w:r>
      <w:r>
        <w:t xml:space="preserve">. El coste apilado de lanzar un producto se sitúa en </w:t>
      </w:r>
      <w:r>
        <w:rPr>
          <w:b/>
          <w:bCs/>
        </w:rPr>
        <w:t>$150-500 por producto</w:t>
      </w:r>
      <w:r>
        <w:t xml:space="preserve"> solo en software, más el coste invisible dominante: </w:t>
      </w:r>
      <w:r>
        <w:rPr>
          <w:b/>
          <w:bCs/>
        </w:rPr>
        <w:t xml:space="preserve">el formato se </w:t>
      </w:r>
      <w:r>
        <w:rPr>
          <w:b/>
          <w:bCs/>
        </w:rPr>
        <w:lastRenderedPageBreak/>
        <w:t>rehace por canal</w:t>
      </w:r>
      <w:r>
        <w:t xml:space="preserve">, porque el PDF “bonito” de Canva que sirve para Gumroad no cumple los requisitos de KDP/Kobo (EPUB reflowable, PDF print-ready con trim y sangrado) </w:t>
      </w:r>
      <w:r>
        <w:rPr>
          <w:vertAlign w:val="superscript"/>
        </w:rPr>
        <w:footnoteReference w:id="84"/>
      </w:r>
      <w:r>
        <w:t xml:space="preserve"> </w:t>
      </w:r>
      <w:r>
        <w:fldChar w:fldCharType="begin"/>
      </w:r>
      <w:r>
        <w:instrText>NOTEREF _Ref_Footnote_78 \h \f</w:instrText>
      </w:r>
      <w:r>
        <w:fldChar w:fldCharType="separate"/>
      </w:r>
      <w:r>
        <w:rPr>
          <w:vertAlign w:val="superscript"/>
        </w:rPr>
        <w:t>78</w:t>
      </w:r>
      <w:r>
        <w:fldChar w:fldCharType="end"/>
      </w:r>
      <w:r>
        <w:t xml:space="preserve"> </w:t>
      </w:r>
      <w:r>
        <w:rPr>
          <w:vertAlign w:val="superscript"/>
        </w:rPr>
        <w:footnoteReference w:id="85"/>
      </w:r>
      <w:r>
        <w:t>. Nadie integra autoría + maquetación + distribución en un solo producto, y quien lo resuelva elimina 3-4 transiciones de herramienta por lanzamiento.</w:t>
      </w:r>
    </w:p>
    <w:p w14:paraId="016B07CE" w14:textId="77777777" w:rsidR="00085C05" w:rsidRDefault="00000000">
      <w:pPr>
        <w:pStyle w:val="Heading3"/>
      </w:pPr>
      <w:bookmarkStart w:id="101" w:name="tamaño-y-momentum-del-mercado"/>
      <w:bookmarkEnd w:id="62"/>
      <w:r>
        <w:t>2.4 Tamaño y momentum del mercado</w:t>
      </w:r>
    </w:p>
    <w:p w14:paraId="02172AF4" w14:textId="77777777" w:rsidR="00085C05" w:rsidRDefault="00000000">
      <w:pPr>
        <w:pStyle w:val="FirstParagraph"/>
      </w:pPr>
      <w:r>
        <w:t>El hueco descrito no es un nicho residual: los tres mercados que lo rodean crecen a doble dígito.</w:t>
      </w:r>
    </w:p>
    <w:p w14:paraId="4DD78033" w14:textId="77777777" w:rsidR="00085C05" w:rsidRDefault="00000000">
      <w:pPr>
        <w:pStyle w:val="BodyText"/>
      </w:pPr>
      <w:r>
        <w:rPr>
          <w:b/>
          <w:bCs/>
        </w:rPr>
        <w:t>Autopublicación.</w:t>
      </w:r>
      <w:r>
        <w:t xml:space="preserve"> Es el dato más sólido del sector: según Bowker vía Publishers Weekly, en 2025 se registraron 4.172.222 títulos con ISBN en EE. UU. (+32,5%), de los cuales </w:t>
      </w:r>
      <w:r>
        <w:rPr>
          <w:b/>
          <w:bCs/>
        </w:rPr>
        <w:t>3.529.980 fueron autopublicados, un +38,7% interanual</w:t>
      </w:r>
      <w:r>
        <w:t xml:space="preserve">, frente a 642.242 títulos tradicionales (+6,6%): los autopublicados superan a los tradicionales más de 5 a 1 y representan ~84,6% de la producción total con ISBN </w:t>
      </w:r>
      <w:r>
        <w:fldChar w:fldCharType="begin"/>
      </w:r>
      <w:r>
        <w:instrText>NOTEREF _Ref_Footnote_3 \h \f</w:instrText>
      </w:r>
      <w:r>
        <w:fldChar w:fldCharType="separate"/>
      </w:r>
      <w:r>
        <w:t>3</w:t>
      </w:r>
      <w:r>
        <w:fldChar w:fldCharType="end"/>
      </w:r>
      <w:r>
        <w:t xml:space="preserve"> </w:t>
      </w:r>
      <w:r>
        <w:fldChar w:fldCharType="begin"/>
      </w:r>
      <w:r>
        <w:instrText>NOTEREF _Ref_Footnote_4 \h \f</w:instrText>
      </w:r>
      <w:r>
        <w:fldChar w:fldCharType="separate"/>
      </w:r>
      <w:r>
        <w:t>4</w:t>
      </w:r>
      <w:r>
        <w:fldChar w:fldCharType="end"/>
      </w:r>
      <w:r>
        <w:t xml:space="preserve"> </w:t>
      </w:r>
      <w:r>
        <w:rPr>
          <w:vertAlign w:val="superscript"/>
        </w:rPr>
        <w:footnoteReference w:id="86"/>
      </w:r>
      <w:r>
        <w:t xml:space="preserve">. En valor, las estimaciones del mercado de autopublicación difieren por perímetro ($1.850M-$3.500M en 2025 según la consultora), pero el consenso cualitativo es un </w:t>
      </w:r>
      <w:r>
        <w:rPr>
          <w:b/>
          <w:bCs/>
        </w:rPr>
        <w:t>CAGR del 10,5-17% frente a ~1% del sector editorial tradicional</w:t>
      </w:r>
      <w:r>
        <w:t xml:space="preserve"> </w:t>
      </w:r>
      <w:r>
        <w:fldChar w:fldCharType="begin"/>
      </w:r>
      <w:r>
        <w:instrText>NOTEREF _Ref_Footnote_34 \h \f</w:instrText>
      </w:r>
      <w:r>
        <w:fldChar w:fldCharType="separate"/>
      </w:r>
      <w:r>
        <w:rPr>
          <w:vertAlign w:val="superscript"/>
        </w:rPr>
        <w:t>34</w:t>
      </w:r>
      <w:r>
        <w:fldChar w:fldCharType="end"/>
      </w:r>
      <w:r>
        <w:t xml:space="preserve"> </w:t>
      </w:r>
      <w:r>
        <w:fldChar w:fldCharType="begin"/>
      </w:r>
      <w:r>
        <w:instrText>NOTEREF _Ref_Footnote_50 \h \f</w:instrText>
      </w:r>
      <w:r>
        <w:fldChar w:fldCharType="separate"/>
      </w:r>
      <w:r>
        <w:rPr>
          <w:vertAlign w:val="superscript"/>
        </w:rPr>
        <w:t>50</w:t>
      </w:r>
      <w:r>
        <w:fldChar w:fldCharType="end"/>
      </w:r>
      <w:r>
        <w:t xml:space="preserve"> </w:t>
      </w:r>
      <w:r>
        <w:rPr>
          <w:vertAlign w:val="superscript"/>
        </w:rPr>
        <w:footnoteReference w:id="87"/>
      </w:r>
      <w:r>
        <w:t xml:space="preserve">. La tendencia aliada es direct-to-reader: la dependencia de Amazon cae tres años seguidos (91%→83%) y ~30% de los autores indie ya venden directo; entre los que ganan &gt;$10k/mes, ~50% </w:t>
      </w:r>
      <w:r>
        <w:fldChar w:fldCharType="begin"/>
      </w:r>
      <w:r>
        <w:instrText>NOTEREF _Ref_Footnote_86 \h \f</w:instrText>
      </w:r>
      <w:r>
        <w:fldChar w:fldCharType="separate"/>
      </w:r>
      <w:r>
        <w:rPr>
          <w:vertAlign w:val="superscript"/>
        </w:rPr>
        <w:t>86</w:t>
      </w:r>
      <w:r>
        <w:fldChar w:fldCharType="end"/>
      </w:r>
      <w:r>
        <w:t>.</w:t>
      </w:r>
    </w:p>
    <w:p w14:paraId="5F5DF449" w14:textId="77777777" w:rsidR="00085C05" w:rsidRDefault="00000000">
      <w:pPr>
        <w:pStyle w:val="CaptionedFigure"/>
      </w:pPr>
      <w:r>
        <w:rPr>
          <w:noProof/>
        </w:rPr>
        <w:lastRenderedPageBreak/>
        <w:drawing>
          <wp:inline distT="0" distB="0" distL="0" distR="0" wp14:anchorId="39CD7243" wp14:editId="19A550A7">
            <wp:extent cx="5334000" cy="3301678"/>
            <wp:effectExtent l="0" t="0" r="0" b="0"/>
            <wp:docPr id="35" name="Picture" descr="Títulos autopublicados con ISBN vs. editorial tradicional en EE. UU., 2024-2025"/>
            <wp:cNvGraphicFramePr/>
            <a:graphic xmlns:a="http://schemas.openxmlformats.org/drawingml/2006/main">
              <a:graphicData uri="http://schemas.openxmlformats.org/drawingml/2006/picture">
                <pic:pic xmlns:pic="http://schemas.openxmlformats.org/drawingml/2006/picture">
                  <pic:nvPicPr>
                    <pic:cNvPr id="36" name="Picture" descr="plan_mejora_definitivo_anclora_talent_chart01.png"/>
                    <pic:cNvPicPr>
                      <a:picLocks noChangeAspect="1" noChangeArrowheads="1"/>
                    </pic:cNvPicPr>
                  </pic:nvPicPr>
                  <pic:blipFill>
                    <a:blip r:embed="rId7"/>
                    <a:stretch>
                      <a:fillRect/>
                    </a:stretch>
                  </pic:blipFill>
                  <pic:spPr bwMode="auto">
                    <a:xfrm>
                      <a:off x="0" y="0"/>
                      <a:ext cx="5334000" cy="3301678"/>
                    </a:xfrm>
                    <a:prstGeom prst="rect">
                      <a:avLst/>
                    </a:prstGeom>
                    <a:noFill/>
                    <a:ln w="9525">
                      <a:noFill/>
                      <a:headEnd/>
                      <a:tailEnd/>
                    </a:ln>
                  </pic:spPr>
                </pic:pic>
              </a:graphicData>
            </a:graphic>
          </wp:inline>
        </w:drawing>
      </w:r>
    </w:p>
    <w:p w14:paraId="32717840" w14:textId="77777777" w:rsidR="00085C05" w:rsidRDefault="00000000">
      <w:pPr>
        <w:pStyle w:val="ImageCaption"/>
      </w:pPr>
      <w:r>
        <w:t>Títulos autopublicados con ISBN vs. editorial tradicional en EE. UU., 2024-2025</w:t>
      </w:r>
    </w:p>
    <w:p w14:paraId="461F0006" w14:textId="77777777" w:rsidR="00085C05" w:rsidRDefault="00000000">
      <w:pPr>
        <w:pStyle w:val="BodyText"/>
      </w:pPr>
      <w:r>
        <w:rPr>
          <w:i/>
          <w:iCs/>
        </w:rPr>
        <w:t xml:space="preserve">Fuente: Bowker / Publishers Weekly vía SelfPublishing.com y ManuscriptReport </w:t>
      </w:r>
      <w:r>
        <w:fldChar w:fldCharType="begin"/>
      </w:r>
      <w:r>
        <w:instrText>NOTEREF _Ref_Footnote_3 \h \f</w:instrText>
      </w:r>
      <w:r>
        <w:fldChar w:fldCharType="separate"/>
      </w:r>
      <w:r>
        <w:t>3</w:t>
      </w:r>
      <w:r>
        <w:fldChar w:fldCharType="end"/>
      </w:r>
      <w:r>
        <w:rPr>
          <w:i/>
          <w:iCs/>
        </w:rPr>
        <w:t xml:space="preserve"> </w:t>
      </w:r>
      <w:r>
        <w:fldChar w:fldCharType="begin"/>
      </w:r>
      <w:r>
        <w:instrText>NOTEREF _Ref_Footnote_86 \h \f</w:instrText>
      </w:r>
      <w:r>
        <w:fldChar w:fldCharType="separate"/>
      </w:r>
      <w:r>
        <w:rPr>
          <w:vertAlign w:val="superscript"/>
        </w:rPr>
        <w:t>86</w:t>
      </w:r>
      <w:r>
        <w:fldChar w:fldCharType="end"/>
      </w:r>
      <w:r>
        <w:rPr>
          <w:i/>
          <w:iCs/>
        </w:rPr>
        <w:t>. Alcance: títulos nuevos con ISBN registrado en EE. UU.; los publicados solo en KDP con ISBN gratuito de Amazon están infrarrepresentados, por lo que el volumen autopublicado real es mayor. El valor 2024 de tradicional (~0,60M) es estimado a partir del +6,6% interanual reportado.</w:t>
      </w:r>
    </w:p>
    <w:p w14:paraId="2E50B8AD" w14:textId="77777777" w:rsidR="00085C05" w:rsidRDefault="00000000">
      <w:pPr>
        <w:pStyle w:val="BodyText"/>
      </w:pPr>
      <w:r>
        <w:t xml:space="preserve">El gráfico condensa la tesis de mercado: el volumen crece seis veces más rápido en autopublicación que en editorial tradicional, y la base ya es 5,5 veces mayor. Dos matices importan para la decisión de producto. Primero, el salto de 2025 llega tras una caída del 3,5% en 2024, lo que sugiere que está parcialmente impulsado por contenido generado con IA — es decir, parte del crecimiento es ruido de baja calidad que el propio mercado castiga (devoluciones +41%), y la oportunidad está en el segmento que busca profesionalizarse, no en el flooding </w:t>
      </w:r>
      <w:r>
        <w:fldChar w:fldCharType="begin"/>
      </w:r>
      <w:r>
        <w:instrText>NOTEREF _Ref_Footnote_72 \h \f</w:instrText>
      </w:r>
      <w:r>
        <w:fldChar w:fldCharType="separate"/>
      </w:r>
      <w:r>
        <w:rPr>
          <w:vertAlign w:val="superscript"/>
        </w:rPr>
        <w:t>72</w:t>
      </w:r>
      <w:r>
        <w:fldChar w:fldCharType="end"/>
      </w:r>
      <w:r>
        <w:t xml:space="preserve"> </w:t>
      </w:r>
      <w:r>
        <w:rPr>
          <w:vertAlign w:val="superscript"/>
        </w:rPr>
        <w:footnoteReference w:id="88"/>
      </w:r>
      <w:r>
        <w:t xml:space="preserve">. Segundo, Bowker solo cuenta ISBN propios: el volumen real es mayor y la base instalada de autores activos supera los 2,3 millones globalmente </w:t>
      </w:r>
      <w:r>
        <w:fldChar w:fldCharType="begin"/>
      </w:r>
      <w:r>
        <w:instrText>NOTEREF _Ref_Footnote_86 \h \f</w:instrText>
      </w:r>
      <w:r>
        <w:fldChar w:fldCharType="separate"/>
      </w:r>
      <w:r>
        <w:rPr>
          <w:vertAlign w:val="superscript"/>
        </w:rPr>
        <w:t>86</w:t>
      </w:r>
      <w:r>
        <w:fldChar w:fldCharType="end"/>
      </w:r>
      <w:r>
        <w:t xml:space="preserve"> </w:t>
      </w:r>
      <w:r>
        <w:fldChar w:fldCharType="begin"/>
      </w:r>
      <w:r>
        <w:instrText>NOTEREF _Ref_Footnote_68 \h \f</w:instrText>
      </w:r>
      <w:r>
        <w:fldChar w:fldCharType="separate"/>
      </w:r>
      <w:r>
        <w:rPr>
          <w:vertAlign w:val="superscript"/>
        </w:rPr>
        <w:t>68</w:t>
      </w:r>
      <w:r>
        <w:fldChar w:fldCharType="end"/>
      </w:r>
      <w:r>
        <w:t>.</w:t>
      </w:r>
    </w:p>
    <w:p w14:paraId="69C99E29" w14:textId="77777777" w:rsidR="00085C05" w:rsidRDefault="00000000">
      <w:pPr>
        <w:pStyle w:val="BodyText"/>
      </w:pPr>
      <w:r>
        <w:rPr>
          <w:b/>
          <w:bCs/>
        </w:rPr>
        <w:t>Creator economy y productos digitales.</w:t>
      </w:r>
      <w:r>
        <w:t xml:space="preserve"> Las estimaciones del tamaño de la creator economy difieren por metodología — $191B a $280B en 2024-2025 según la fuente </w:t>
      </w:r>
      <w:r>
        <w:rPr>
          <w:vertAlign w:val="superscript"/>
        </w:rPr>
        <w:footnoteReference w:id="89"/>
      </w:r>
      <w:r>
        <w:t xml:space="preserve"> </w:t>
      </w:r>
      <w:r>
        <w:rPr>
          <w:vertAlign w:val="superscript"/>
        </w:rPr>
        <w:footnoteReference w:id="90"/>
      </w:r>
      <w:r>
        <w:t xml:space="preserve"> </w:t>
      </w:r>
      <w:r>
        <w:rPr>
          <w:vertAlign w:val="superscript"/>
        </w:rPr>
        <w:footnoteReference w:id="91"/>
      </w:r>
      <w:r>
        <w:t xml:space="preserve"> </w:t>
      </w:r>
      <w:r>
        <w:rPr>
          <w:vertAlign w:val="superscript"/>
        </w:rPr>
        <w:footnoteReference w:id="92"/>
      </w:r>
      <w:r>
        <w:t xml:space="preserve"> — pero convergen en la proyección de Goldman Sachs: </w:t>
      </w:r>
      <w:r>
        <w:rPr>
          <w:b/>
          <w:bCs/>
        </w:rPr>
        <w:t>$480B en 2027</w:t>
      </w:r>
      <w:r>
        <w:t xml:space="preserve"> </w:t>
      </w:r>
      <w:r>
        <w:fldChar w:fldCharType="begin"/>
      </w:r>
      <w:r>
        <w:instrText>NOTEREF _Ref_Footnote_39 \h \f</w:instrText>
      </w:r>
      <w:r>
        <w:fldChar w:fldCharType="separate"/>
      </w:r>
      <w:r>
        <w:rPr>
          <w:vertAlign w:val="superscript"/>
        </w:rPr>
        <w:t>39</w:t>
      </w:r>
      <w:r>
        <w:fldChar w:fldCharType="end"/>
      </w:r>
      <w:r>
        <w:t xml:space="preserve">. </w:t>
      </w:r>
      <w:r>
        <w:lastRenderedPageBreak/>
        <w:t xml:space="preserve">Dentro de ese mercado, el dato decisivo para Anclora es de mix de monetización: </w:t>
      </w:r>
      <w:r>
        <w:rPr>
          <w:b/>
          <w:bCs/>
        </w:rPr>
        <w:t>el 67% de los creadores que monetizan venden productos digitales (cursos, plantillas, ebooks) con márgenes del 70-90%</w:t>
      </w:r>
      <w:r>
        <w:t xml:space="preserve">, frente al 5-15% de la publicidad </w:t>
      </w:r>
      <w:r>
        <w:fldChar w:fldCharType="begin"/>
      </w:r>
      <w:r>
        <w:instrText>NOTEREF _Ref_Footnote_31 \h \f</w:instrText>
      </w:r>
      <w:r>
        <w:fldChar w:fldCharType="separate"/>
      </w:r>
      <w:r>
        <w:rPr>
          <w:vertAlign w:val="superscript"/>
        </w:rPr>
        <w:t>31</w:t>
      </w:r>
      <w:r>
        <w:fldChar w:fldCharType="end"/>
      </w:r>
      <w:r>
        <w:t xml:space="preserve">. Y los creadores full-time que más ganan son educadores y coaches: productos digitales y servicios son las dos principales fuentes de ingreso tanto por encima de $50k como de $150k anuales </w:t>
      </w:r>
      <w:r>
        <w:fldChar w:fldCharType="begin"/>
      </w:r>
      <w:r>
        <w:instrText>NOTEREF _Ref_Footnote_45 \h \f</w:instrText>
      </w:r>
      <w:r>
        <w:fldChar w:fldCharType="separate"/>
      </w:r>
      <w:r>
        <w:rPr>
          <w:vertAlign w:val="superscript"/>
        </w:rPr>
        <w:t>45</w:t>
      </w:r>
      <w:r>
        <w:fldChar w:fldCharType="end"/>
      </w:r>
      <w:r>
        <w:t xml:space="preserve"> </w:t>
      </w:r>
      <w:r>
        <w:rPr>
          <w:vertAlign w:val="superscript"/>
        </w:rPr>
        <w:footnoteReference w:id="93"/>
      </w:r>
      <w:r>
        <w:t>. El infoproductor de no-ficción — el cliente natural de Anclora — es precisamente el segmento con mejor disposición a pagar.</w:t>
      </w:r>
    </w:p>
    <w:p w14:paraId="76C57883" w14:textId="77777777" w:rsidR="00085C05" w:rsidRDefault="00000000">
      <w:pPr>
        <w:pStyle w:val="BodyText"/>
      </w:pPr>
      <w:r>
        <w:rPr>
          <w:b/>
          <w:bCs/>
        </w:rPr>
        <w:t>Pricing del sector.</w:t>
      </w:r>
      <w:r>
        <w:t xml:space="preserve"> El software de autoría clásica vive anclado en la licencia única ($59,99-$249,99) y el argumento de venta nº 1 de Atticus es explícitamente anti-suscripción </w:t>
      </w:r>
      <w:r>
        <w:fldChar w:fldCharType="begin"/>
      </w:r>
      <w:r>
        <w:instrText>NOTEREF _Ref_Footnote_66 \h \f</w:instrText>
      </w:r>
      <w:r>
        <w:fldChar w:fldCharType="separate"/>
      </w:r>
      <w:r>
        <w:rPr>
          <w:vertAlign w:val="superscript"/>
        </w:rPr>
        <w:t>66</w:t>
      </w:r>
      <w:r>
        <w:fldChar w:fldCharType="end"/>
      </w:r>
      <w:r>
        <w:t xml:space="preserve"> </w:t>
      </w:r>
      <w:r>
        <w:fldChar w:fldCharType="begin"/>
      </w:r>
      <w:r>
        <w:instrText>NOTEREF _Ref_Footnote_46 \h \f</w:instrText>
      </w:r>
      <w:r>
        <w:fldChar w:fldCharType="separate"/>
      </w:r>
      <w:r>
        <w:rPr>
          <w:vertAlign w:val="superscript"/>
        </w:rPr>
        <w:t>46</w:t>
      </w:r>
      <w:r>
        <w:fldChar w:fldCharType="end"/>
      </w:r>
      <w:r>
        <w:t xml:space="preserve">. Pero la fotografía está cambiando: el ARPU del SaaS de escritura creativa pasó de </w:t>
      </w:r>
      <w:r>
        <w:rPr>
          <w:b/>
          <w:bCs/>
        </w:rPr>
        <w:t>$48 en 2021 a $97 en 2025</w:t>
      </w:r>
      <w:r>
        <w:t xml:space="preserve">, y las suscripciones IA-nativas crecen al 18,6% anual frente al 10,2% del mercado total </w:t>
      </w:r>
      <w:r>
        <w:fldChar w:fldCharType="begin"/>
      </w:r>
      <w:r>
        <w:instrText>NOTEREF _Ref_Footnote_11 \h \f</w:instrText>
      </w:r>
      <w:r>
        <w:fldChar w:fldCharType="separate"/>
      </w:r>
      <w:r>
        <w:rPr>
          <w:vertAlign w:val="superscript"/>
        </w:rPr>
        <w:t>11</w:t>
      </w:r>
      <w:r>
        <w:fldChar w:fldCharType="end"/>
      </w:r>
      <w:r>
        <w:t>. La lectura de pricing es binaria: el mercado rechaza suscripciones por funcionalidad estática, pero las acepta cuando la IA aporta valor continuo. Un modelo híbrido (licencia/lifetime para la composición + SaaS para la capa IA) ancla contra Atticus/Vellum sin pelear contra la cultura anti-suscripción del sector.</w:t>
      </w:r>
    </w:p>
    <w:p w14:paraId="10AD2FD4" w14:textId="77777777" w:rsidR="00085C05" w:rsidRDefault="00000000">
      <w:pPr>
        <w:pStyle w:val="Heading3"/>
      </w:pPr>
      <w:bookmarkStart w:id="110" w:name="el-hueco-competitivo-consolidado"/>
      <w:bookmarkEnd w:id="101"/>
      <w:r>
        <w:t>2.5 El hueco competitivo consolidado</w:t>
      </w:r>
    </w:p>
    <w:p w14:paraId="5F10A3C4" w14:textId="77777777" w:rsidR="00085C05" w:rsidRDefault="00000000">
      <w:pPr>
        <w:pStyle w:val="FirstParagraph"/>
      </w:pPr>
      <w:r>
        <w:t>Las tres bandas analizadas dejan un espacio vacío que ninguna puede ocupar desde su posición actual: los clásicos no tienen IA ni colaboración real; los IA-nativos no tienen composición gobernada; las plataformas no tienen creación. La tabla de cobertura lo consolida.</w:t>
      </w:r>
    </w:p>
    <w:tbl>
      <w:tblPr>
        <w:tblStyle w:val="Table"/>
        <w:tblW w:w="5000" w:type="pct"/>
        <w:tblLook w:val="0020" w:firstRow="1" w:lastRow="0" w:firstColumn="0" w:lastColumn="0" w:noHBand="0" w:noVBand="0"/>
      </w:tblPr>
      <w:tblGrid>
        <w:gridCol w:w="1453"/>
        <w:gridCol w:w="1454"/>
        <w:gridCol w:w="1471"/>
        <w:gridCol w:w="1416"/>
        <w:gridCol w:w="1469"/>
        <w:gridCol w:w="1791"/>
      </w:tblGrid>
      <w:tr w:rsidR="00085C05" w14:paraId="2E2E5BE7"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1C67888C" w14:textId="77777777" w:rsidR="00085C05" w:rsidRDefault="00000000">
            <w:pPr>
              <w:pStyle w:val="Compact"/>
            </w:pPr>
            <w:r>
              <w:t>Actor / banda</w:t>
            </w:r>
          </w:p>
        </w:tc>
        <w:tc>
          <w:tcPr>
            <w:tcW w:w="0" w:type="auto"/>
          </w:tcPr>
          <w:p w14:paraId="4AEE1D61" w14:textId="77777777" w:rsidR="00085C05" w:rsidRDefault="00000000">
            <w:pPr>
              <w:pStyle w:val="Compact"/>
            </w:pPr>
            <w:r>
              <w:t>Autoría</w:t>
            </w:r>
          </w:p>
        </w:tc>
        <w:tc>
          <w:tcPr>
            <w:tcW w:w="0" w:type="auto"/>
          </w:tcPr>
          <w:p w14:paraId="2BE9E6C2" w14:textId="77777777" w:rsidR="00085C05" w:rsidRDefault="00000000">
            <w:pPr>
              <w:pStyle w:val="Compact"/>
            </w:pPr>
            <w:r>
              <w:t>Composición gobernada (TOC/reglas)</w:t>
            </w:r>
          </w:p>
        </w:tc>
        <w:tc>
          <w:tcPr>
            <w:tcW w:w="0" w:type="auto"/>
          </w:tcPr>
          <w:p w14:paraId="4746761F" w14:textId="77777777" w:rsidR="00085C05" w:rsidRDefault="00000000">
            <w:pPr>
              <w:pStyle w:val="Compact"/>
            </w:pPr>
            <w:r>
              <w:t>IA</w:t>
            </w:r>
          </w:p>
        </w:tc>
        <w:tc>
          <w:tcPr>
            <w:tcW w:w="0" w:type="auto"/>
          </w:tcPr>
          <w:p w14:paraId="752E4E56" w14:textId="77777777" w:rsidR="00085C05" w:rsidRDefault="00000000">
            <w:pPr>
              <w:pStyle w:val="Compact"/>
            </w:pPr>
            <w:r>
              <w:t>Colaboración</w:t>
            </w:r>
          </w:p>
        </w:tc>
        <w:tc>
          <w:tcPr>
            <w:tcW w:w="0" w:type="auto"/>
          </w:tcPr>
          <w:p w14:paraId="0C803999" w14:textId="77777777" w:rsidR="00085C05" w:rsidRDefault="00000000">
            <w:pPr>
              <w:pStyle w:val="Compact"/>
            </w:pPr>
            <w:r>
              <w:t>Distribución</w:t>
            </w:r>
          </w:p>
        </w:tc>
      </w:tr>
      <w:tr w:rsidR="00085C05" w14:paraId="3D928DA4" w14:textId="77777777">
        <w:tc>
          <w:tcPr>
            <w:tcW w:w="0" w:type="auto"/>
          </w:tcPr>
          <w:p w14:paraId="43888509" w14:textId="77777777" w:rsidR="00085C05" w:rsidRDefault="00000000">
            <w:pPr>
              <w:pStyle w:val="Compact"/>
            </w:pPr>
            <w:r>
              <w:t>Atticus</w:t>
            </w:r>
          </w:p>
        </w:tc>
        <w:tc>
          <w:tcPr>
            <w:tcW w:w="0" w:type="auto"/>
          </w:tcPr>
          <w:p w14:paraId="6764751F" w14:textId="77777777" w:rsidR="00085C05" w:rsidRDefault="00000000">
            <w:pPr>
              <w:pStyle w:val="Compact"/>
            </w:pPr>
            <w:r>
              <w:t>✔</w:t>
            </w:r>
          </w:p>
        </w:tc>
        <w:tc>
          <w:tcPr>
            <w:tcW w:w="0" w:type="auto"/>
          </w:tcPr>
          <w:p w14:paraId="13EE11B6" w14:textId="77777777" w:rsidR="00085C05" w:rsidRDefault="00000000">
            <w:pPr>
              <w:pStyle w:val="Compact"/>
            </w:pPr>
            <w:r>
              <w:t xml:space="preserve">Parcial (TOC con bugs) </w:t>
            </w:r>
            <w:r>
              <w:fldChar w:fldCharType="begin"/>
            </w:r>
            <w:r>
              <w:instrText>NOTEREF _Ref_Footnote_17 \h \f</w:instrText>
            </w:r>
            <w:r>
              <w:fldChar w:fldCharType="separate"/>
            </w:r>
            <w:r>
              <w:rPr>
                <w:vertAlign w:val="superscript"/>
              </w:rPr>
              <w:t>17</w:t>
            </w:r>
            <w:r>
              <w:fldChar w:fldCharType="end"/>
            </w:r>
          </w:p>
        </w:tc>
        <w:tc>
          <w:tcPr>
            <w:tcW w:w="0" w:type="auto"/>
          </w:tcPr>
          <w:p w14:paraId="2F2A38BA" w14:textId="77777777" w:rsidR="00085C05" w:rsidRDefault="00000000">
            <w:pPr>
              <w:pStyle w:val="Compact"/>
            </w:pPr>
            <w:r>
              <w:t xml:space="preserve">✗ </w:t>
            </w:r>
            <w:r>
              <w:fldChar w:fldCharType="begin"/>
            </w:r>
            <w:r>
              <w:instrText>NOTEREF _Ref_Footnote_21 \h \f</w:instrText>
            </w:r>
            <w:r>
              <w:fldChar w:fldCharType="separate"/>
            </w:r>
            <w:r>
              <w:rPr>
                <w:vertAlign w:val="superscript"/>
              </w:rPr>
              <w:t>21</w:t>
            </w:r>
            <w:r>
              <w:fldChar w:fldCharType="end"/>
            </w:r>
          </w:p>
        </w:tc>
        <w:tc>
          <w:tcPr>
            <w:tcW w:w="0" w:type="auto"/>
          </w:tcPr>
          <w:p w14:paraId="01CF0799" w14:textId="77777777" w:rsidR="00085C05" w:rsidRDefault="00000000">
            <w:pPr>
              <w:pStyle w:val="Compact"/>
            </w:pPr>
            <w:r>
              <w:t xml:space="preserve">Parcial (peaje) </w:t>
            </w:r>
            <w:r>
              <w:fldChar w:fldCharType="begin"/>
            </w:r>
            <w:r>
              <w:instrText>NOTEREF _Ref_Footnote_31 \h \f</w:instrText>
            </w:r>
            <w:r>
              <w:fldChar w:fldCharType="separate"/>
            </w:r>
            <w:r>
              <w:rPr>
                <w:vertAlign w:val="superscript"/>
              </w:rPr>
              <w:t>31</w:t>
            </w:r>
            <w:r>
              <w:fldChar w:fldCharType="end"/>
            </w:r>
          </w:p>
        </w:tc>
        <w:tc>
          <w:tcPr>
            <w:tcW w:w="0" w:type="auto"/>
          </w:tcPr>
          <w:p w14:paraId="7E632BC1" w14:textId="77777777" w:rsidR="00085C05" w:rsidRDefault="00000000">
            <w:pPr>
              <w:pStyle w:val="Compact"/>
            </w:pPr>
            <w:r>
              <w:t>✗</w:t>
            </w:r>
          </w:p>
        </w:tc>
      </w:tr>
      <w:tr w:rsidR="00085C05" w14:paraId="6D50BA3D" w14:textId="77777777">
        <w:tc>
          <w:tcPr>
            <w:tcW w:w="0" w:type="auto"/>
          </w:tcPr>
          <w:p w14:paraId="3A50A72B" w14:textId="77777777" w:rsidR="00085C05" w:rsidRDefault="00000000">
            <w:pPr>
              <w:pStyle w:val="Compact"/>
            </w:pPr>
            <w:r>
              <w:t>Vellum</w:t>
            </w:r>
          </w:p>
        </w:tc>
        <w:tc>
          <w:tcPr>
            <w:tcW w:w="0" w:type="auto"/>
          </w:tcPr>
          <w:p w14:paraId="4329E740" w14:textId="77777777" w:rsidR="00085C05" w:rsidRDefault="00000000">
            <w:pPr>
              <w:pStyle w:val="Compact"/>
            </w:pPr>
            <w:r>
              <w:t>✗</w:t>
            </w:r>
          </w:p>
        </w:tc>
        <w:tc>
          <w:tcPr>
            <w:tcW w:w="0" w:type="auto"/>
          </w:tcPr>
          <w:p w14:paraId="399958CB" w14:textId="77777777" w:rsidR="00085C05" w:rsidRDefault="00000000">
            <w:pPr>
              <w:pStyle w:val="Compact"/>
            </w:pPr>
            <w:r>
              <w:t xml:space="preserve">✔ (benchmark) </w:t>
            </w:r>
            <w:r>
              <w:fldChar w:fldCharType="begin"/>
            </w:r>
            <w:r>
              <w:instrText>NOTEREF _Ref_Footnote_27 \h \f</w:instrText>
            </w:r>
            <w:r>
              <w:fldChar w:fldCharType="separate"/>
            </w:r>
            <w:r>
              <w:rPr>
                <w:vertAlign w:val="superscript"/>
              </w:rPr>
              <w:t>27</w:t>
            </w:r>
            <w:r>
              <w:fldChar w:fldCharType="end"/>
            </w:r>
          </w:p>
        </w:tc>
        <w:tc>
          <w:tcPr>
            <w:tcW w:w="0" w:type="auto"/>
          </w:tcPr>
          <w:p w14:paraId="4AF035B8" w14:textId="77777777" w:rsidR="00085C05" w:rsidRDefault="00000000">
            <w:pPr>
              <w:pStyle w:val="Compact"/>
            </w:pPr>
            <w:r>
              <w:t xml:space="preserve">✗ </w:t>
            </w:r>
            <w:r>
              <w:fldChar w:fldCharType="begin"/>
            </w:r>
            <w:r>
              <w:instrText>NOTEREF _Ref_Footnote_26 \h \f</w:instrText>
            </w:r>
            <w:r>
              <w:fldChar w:fldCharType="separate"/>
            </w:r>
            <w:r>
              <w:rPr>
                <w:vertAlign w:val="superscript"/>
              </w:rPr>
              <w:t>26</w:t>
            </w:r>
            <w:r>
              <w:fldChar w:fldCharType="end"/>
            </w:r>
          </w:p>
        </w:tc>
        <w:tc>
          <w:tcPr>
            <w:tcW w:w="0" w:type="auto"/>
          </w:tcPr>
          <w:p w14:paraId="7C49A2BD" w14:textId="77777777" w:rsidR="00085C05" w:rsidRDefault="00000000">
            <w:pPr>
              <w:pStyle w:val="Compact"/>
            </w:pPr>
            <w:r>
              <w:t xml:space="preserve">✗ </w:t>
            </w:r>
            <w:r>
              <w:fldChar w:fldCharType="begin"/>
            </w:r>
            <w:r>
              <w:instrText>NOTEREF _Ref_Footnote_27 \h \f</w:instrText>
            </w:r>
            <w:r>
              <w:fldChar w:fldCharType="separate"/>
            </w:r>
            <w:r>
              <w:rPr>
                <w:vertAlign w:val="superscript"/>
              </w:rPr>
              <w:t>27</w:t>
            </w:r>
            <w:r>
              <w:fldChar w:fldCharType="end"/>
            </w:r>
          </w:p>
        </w:tc>
        <w:tc>
          <w:tcPr>
            <w:tcW w:w="0" w:type="auto"/>
          </w:tcPr>
          <w:p w14:paraId="2FF53721" w14:textId="77777777" w:rsidR="00085C05" w:rsidRDefault="00000000">
            <w:pPr>
              <w:pStyle w:val="Compact"/>
            </w:pPr>
            <w:r>
              <w:t>✗</w:t>
            </w:r>
          </w:p>
        </w:tc>
      </w:tr>
      <w:tr w:rsidR="00085C05" w14:paraId="720793EE" w14:textId="77777777">
        <w:tc>
          <w:tcPr>
            <w:tcW w:w="0" w:type="auto"/>
          </w:tcPr>
          <w:p w14:paraId="4D059A6A" w14:textId="77777777" w:rsidR="00085C05" w:rsidRDefault="00000000">
            <w:pPr>
              <w:pStyle w:val="Compact"/>
            </w:pPr>
            <w:r>
              <w:t>Scrivener</w:t>
            </w:r>
          </w:p>
        </w:tc>
        <w:tc>
          <w:tcPr>
            <w:tcW w:w="0" w:type="auto"/>
          </w:tcPr>
          <w:p w14:paraId="6B01AFD8" w14:textId="77777777" w:rsidR="00085C05" w:rsidRDefault="00000000">
            <w:pPr>
              <w:pStyle w:val="Compact"/>
            </w:pPr>
            <w:r>
              <w:t xml:space="preserve">✔ (la mejor) </w:t>
            </w:r>
            <w:r>
              <w:rPr>
                <w:vertAlign w:val="superscript"/>
              </w:rPr>
              <w:footnoteReference w:id="94"/>
            </w:r>
          </w:p>
        </w:tc>
        <w:tc>
          <w:tcPr>
            <w:tcW w:w="0" w:type="auto"/>
          </w:tcPr>
          <w:p w14:paraId="3AC3DB6B" w14:textId="77777777" w:rsidR="00085C05" w:rsidRDefault="00000000">
            <w:pPr>
              <w:pStyle w:val="Compact"/>
            </w:pPr>
            <w:r>
              <w:t xml:space="preserve">✗ (Compile) </w:t>
            </w:r>
            <w:r>
              <w:lastRenderedPageBreak/>
              <w:fldChar w:fldCharType="begin"/>
            </w:r>
            <w:r>
              <w:instrText>NOTEREF _Ref_Footnote_30 \h \f</w:instrText>
            </w:r>
            <w:r>
              <w:fldChar w:fldCharType="separate"/>
            </w:r>
            <w:r>
              <w:rPr>
                <w:vertAlign w:val="superscript"/>
              </w:rPr>
              <w:t>30</w:t>
            </w:r>
            <w:r>
              <w:fldChar w:fldCharType="end"/>
            </w:r>
          </w:p>
        </w:tc>
        <w:tc>
          <w:tcPr>
            <w:tcW w:w="0" w:type="auto"/>
          </w:tcPr>
          <w:p w14:paraId="06C56BB8" w14:textId="77777777" w:rsidR="00085C05" w:rsidRDefault="00000000">
            <w:pPr>
              <w:pStyle w:val="Compact"/>
            </w:pPr>
            <w:r>
              <w:lastRenderedPageBreak/>
              <w:t>✗</w:t>
            </w:r>
          </w:p>
        </w:tc>
        <w:tc>
          <w:tcPr>
            <w:tcW w:w="0" w:type="auto"/>
          </w:tcPr>
          <w:p w14:paraId="5EC22F22" w14:textId="77777777" w:rsidR="00085C05" w:rsidRDefault="00000000">
            <w:pPr>
              <w:pStyle w:val="Compact"/>
            </w:pPr>
            <w:r>
              <w:t xml:space="preserve">✗ </w:t>
            </w:r>
            <w:r>
              <w:fldChar w:fldCharType="begin"/>
            </w:r>
            <w:r>
              <w:instrText>NOTEREF _Ref_Footnote_31 \h \f</w:instrText>
            </w:r>
            <w:r>
              <w:fldChar w:fldCharType="separate"/>
            </w:r>
            <w:r>
              <w:rPr>
                <w:vertAlign w:val="superscript"/>
              </w:rPr>
              <w:t>31</w:t>
            </w:r>
            <w:r>
              <w:fldChar w:fldCharType="end"/>
            </w:r>
          </w:p>
        </w:tc>
        <w:tc>
          <w:tcPr>
            <w:tcW w:w="0" w:type="auto"/>
          </w:tcPr>
          <w:p w14:paraId="5A971B85" w14:textId="77777777" w:rsidR="00085C05" w:rsidRDefault="00000000">
            <w:pPr>
              <w:pStyle w:val="Compact"/>
            </w:pPr>
            <w:r>
              <w:t>✗</w:t>
            </w:r>
          </w:p>
        </w:tc>
      </w:tr>
      <w:tr w:rsidR="00085C05" w14:paraId="1D0E6C2D" w14:textId="77777777">
        <w:tc>
          <w:tcPr>
            <w:tcW w:w="0" w:type="auto"/>
          </w:tcPr>
          <w:p w14:paraId="27C310C4" w14:textId="77777777" w:rsidR="00085C05" w:rsidRDefault="00000000">
            <w:pPr>
              <w:pStyle w:val="Compact"/>
            </w:pPr>
            <w:r>
              <w:t>Designrr</w:t>
            </w:r>
          </w:p>
        </w:tc>
        <w:tc>
          <w:tcPr>
            <w:tcW w:w="0" w:type="auto"/>
          </w:tcPr>
          <w:p w14:paraId="0166FA10" w14:textId="77777777" w:rsidR="00085C05" w:rsidRDefault="00000000">
            <w:pPr>
              <w:pStyle w:val="Compact"/>
            </w:pPr>
            <w:r>
              <w:t>Parcial</w:t>
            </w:r>
          </w:p>
        </w:tc>
        <w:tc>
          <w:tcPr>
            <w:tcW w:w="0" w:type="auto"/>
          </w:tcPr>
          <w:p w14:paraId="6693D688" w14:textId="77777777" w:rsidR="00085C05" w:rsidRDefault="00000000">
            <w:pPr>
              <w:pStyle w:val="Compact"/>
            </w:pPr>
            <w:r>
              <w:t xml:space="preserve">✗ (plantillas rígidas) </w:t>
            </w:r>
            <w:r>
              <w:fldChar w:fldCharType="begin"/>
            </w:r>
            <w:r>
              <w:instrText>NOTEREF _Ref_Footnote_50 \h \f</w:instrText>
            </w:r>
            <w:r>
              <w:fldChar w:fldCharType="separate"/>
            </w:r>
            <w:r>
              <w:rPr>
                <w:vertAlign w:val="superscript"/>
              </w:rPr>
              <w:t>50</w:t>
            </w:r>
            <w:r>
              <w:fldChar w:fldCharType="end"/>
            </w:r>
          </w:p>
        </w:tc>
        <w:tc>
          <w:tcPr>
            <w:tcW w:w="0" w:type="auto"/>
          </w:tcPr>
          <w:p w14:paraId="509A0B61" w14:textId="77777777" w:rsidR="00085C05" w:rsidRDefault="00000000">
            <w:pPr>
              <w:pStyle w:val="Compact"/>
            </w:pPr>
            <w:r>
              <w:t>✔</w:t>
            </w:r>
          </w:p>
        </w:tc>
        <w:tc>
          <w:tcPr>
            <w:tcW w:w="0" w:type="auto"/>
          </w:tcPr>
          <w:p w14:paraId="40B363BA" w14:textId="77777777" w:rsidR="00085C05" w:rsidRDefault="00000000">
            <w:pPr>
              <w:pStyle w:val="Compact"/>
            </w:pPr>
            <w:r>
              <w:t>✗</w:t>
            </w:r>
          </w:p>
        </w:tc>
        <w:tc>
          <w:tcPr>
            <w:tcW w:w="0" w:type="auto"/>
          </w:tcPr>
          <w:p w14:paraId="3D05A818" w14:textId="77777777" w:rsidR="00085C05" w:rsidRDefault="00000000">
            <w:pPr>
              <w:pStyle w:val="Compact"/>
            </w:pPr>
            <w:r>
              <w:t>✗</w:t>
            </w:r>
          </w:p>
        </w:tc>
      </w:tr>
      <w:tr w:rsidR="00085C05" w14:paraId="04F714CC" w14:textId="77777777">
        <w:tc>
          <w:tcPr>
            <w:tcW w:w="0" w:type="auto"/>
          </w:tcPr>
          <w:p w14:paraId="4D58AA73" w14:textId="77777777" w:rsidR="00085C05" w:rsidRDefault="00000000">
            <w:pPr>
              <w:pStyle w:val="Compact"/>
            </w:pPr>
            <w:r>
              <w:t>Generadores one-click</w:t>
            </w:r>
          </w:p>
        </w:tc>
        <w:tc>
          <w:tcPr>
            <w:tcW w:w="0" w:type="auto"/>
          </w:tcPr>
          <w:p w14:paraId="5D8FEF24" w14:textId="77777777" w:rsidR="00085C05" w:rsidRDefault="00000000">
            <w:pPr>
              <w:pStyle w:val="Compact"/>
            </w:pPr>
            <w:r>
              <w:t>✔ (borradores)</w:t>
            </w:r>
          </w:p>
        </w:tc>
        <w:tc>
          <w:tcPr>
            <w:tcW w:w="0" w:type="auto"/>
          </w:tcPr>
          <w:p w14:paraId="75D63176" w14:textId="77777777" w:rsidR="00085C05" w:rsidRDefault="00000000">
            <w:pPr>
              <w:pStyle w:val="Compact"/>
            </w:pPr>
            <w:r>
              <w:t xml:space="preserve">✗ </w:t>
            </w:r>
            <w:r>
              <w:fldChar w:fldCharType="begin"/>
            </w:r>
            <w:r>
              <w:instrText>NOTEREF _Ref_Footnote_16 \h \f</w:instrText>
            </w:r>
            <w:r>
              <w:fldChar w:fldCharType="separate"/>
            </w:r>
            <w:r>
              <w:rPr>
                <w:vertAlign w:val="superscript"/>
              </w:rPr>
              <w:t>16</w:t>
            </w:r>
            <w:r>
              <w:fldChar w:fldCharType="end"/>
            </w:r>
          </w:p>
        </w:tc>
        <w:tc>
          <w:tcPr>
            <w:tcW w:w="0" w:type="auto"/>
          </w:tcPr>
          <w:p w14:paraId="35345F99" w14:textId="77777777" w:rsidR="00085C05" w:rsidRDefault="00000000">
            <w:pPr>
              <w:pStyle w:val="Compact"/>
            </w:pPr>
            <w:r>
              <w:t xml:space="preserve">✔ (sin gobernanza) </w:t>
            </w:r>
            <w:r>
              <w:fldChar w:fldCharType="begin"/>
            </w:r>
            <w:r>
              <w:instrText>NOTEREF _Ref_Footnote_53 \h \f</w:instrText>
            </w:r>
            <w:r>
              <w:fldChar w:fldCharType="separate"/>
            </w:r>
            <w:r>
              <w:rPr>
                <w:vertAlign w:val="superscript"/>
              </w:rPr>
              <w:t>53</w:t>
            </w:r>
            <w:r>
              <w:fldChar w:fldCharType="end"/>
            </w:r>
          </w:p>
        </w:tc>
        <w:tc>
          <w:tcPr>
            <w:tcW w:w="0" w:type="auto"/>
          </w:tcPr>
          <w:p w14:paraId="3544416E" w14:textId="77777777" w:rsidR="00085C05" w:rsidRDefault="00000000">
            <w:pPr>
              <w:pStyle w:val="Compact"/>
            </w:pPr>
            <w:r>
              <w:t>✗</w:t>
            </w:r>
          </w:p>
        </w:tc>
        <w:tc>
          <w:tcPr>
            <w:tcW w:w="0" w:type="auto"/>
          </w:tcPr>
          <w:p w14:paraId="168EF26E" w14:textId="77777777" w:rsidR="00085C05" w:rsidRDefault="00000000">
            <w:pPr>
              <w:pStyle w:val="Compact"/>
            </w:pPr>
            <w:r>
              <w:t xml:space="preserve">Parcial (KDP-ready) </w:t>
            </w:r>
            <w:r>
              <w:fldChar w:fldCharType="begin"/>
            </w:r>
            <w:r>
              <w:instrText>NOTEREF _Ref_Footnote_21 \h \f</w:instrText>
            </w:r>
            <w:r>
              <w:fldChar w:fldCharType="separate"/>
            </w:r>
            <w:r>
              <w:rPr>
                <w:vertAlign w:val="superscript"/>
              </w:rPr>
              <w:t>21</w:t>
            </w:r>
            <w:r>
              <w:fldChar w:fldCharType="end"/>
            </w:r>
          </w:p>
        </w:tc>
      </w:tr>
      <w:tr w:rsidR="00085C05" w14:paraId="7D42F25C" w14:textId="77777777">
        <w:tc>
          <w:tcPr>
            <w:tcW w:w="0" w:type="auto"/>
          </w:tcPr>
          <w:p w14:paraId="15E57761" w14:textId="77777777" w:rsidR="00085C05" w:rsidRDefault="00000000">
            <w:pPr>
              <w:pStyle w:val="Compact"/>
            </w:pPr>
            <w:r>
              <w:t>Canva / Adobe Express</w:t>
            </w:r>
          </w:p>
        </w:tc>
        <w:tc>
          <w:tcPr>
            <w:tcW w:w="0" w:type="auto"/>
          </w:tcPr>
          <w:p w14:paraId="1F219098" w14:textId="77777777" w:rsidR="00085C05" w:rsidRDefault="00000000">
            <w:pPr>
              <w:pStyle w:val="Compact"/>
            </w:pPr>
            <w:r>
              <w:t>✗</w:t>
            </w:r>
          </w:p>
        </w:tc>
        <w:tc>
          <w:tcPr>
            <w:tcW w:w="0" w:type="auto"/>
          </w:tcPr>
          <w:p w14:paraId="65B4CE37" w14:textId="77777777" w:rsidR="00085C05" w:rsidRDefault="00000000">
            <w:pPr>
              <w:pStyle w:val="Compact"/>
            </w:pPr>
            <w:r>
              <w:t xml:space="preserve">✗ </w:t>
            </w:r>
            <w:r>
              <w:fldChar w:fldCharType="begin"/>
            </w:r>
            <w:r>
              <w:instrText>NOTEREF _Ref_Footnote_58 \h \f</w:instrText>
            </w:r>
            <w:r>
              <w:fldChar w:fldCharType="separate"/>
            </w:r>
            <w:r>
              <w:rPr>
                <w:vertAlign w:val="superscript"/>
              </w:rPr>
              <w:t>58</w:t>
            </w:r>
            <w:r>
              <w:fldChar w:fldCharType="end"/>
            </w:r>
          </w:p>
        </w:tc>
        <w:tc>
          <w:tcPr>
            <w:tcW w:w="0" w:type="auto"/>
          </w:tcPr>
          <w:p w14:paraId="6457FA41" w14:textId="77777777" w:rsidR="00085C05" w:rsidRDefault="00000000">
            <w:pPr>
              <w:pStyle w:val="Compact"/>
            </w:pPr>
            <w:r>
              <w:t>✔</w:t>
            </w:r>
          </w:p>
        </w:tc>
        <w:tc>
          <w:tcPr>
            <w:tcW w:w="0" w:type="auto"/>
          </w:tcPr>
          <w:p w14:paraId="1E288D7F" w14:textId="77777777" w:rsidR="00085C05" w:rsidRDefault="00000000">
            <w:pPr>
              <w:pStyle w:val="Compact"/>
            </w:pPr>
            <w:r>
              <w:t>✔</w:t>
            </w:r>
          </w:p>
        </w:tc>
        <w:tc>
          <w:tcPr>
            <w:tcW w:w="0" w:type="auto"/>
          </w:tcPr>
          <w:p w14:paraId="14C8FA9C" w14:textId="77777777" w:rsidR="00085C05" w:rsidRDefault="00000000">
            <w:pPr>
              <w:pStyle w:val="Compact"/>
            </w:pPr>
            <w:r>
              <w:t>✗</w:t>
            </w:r>
          </w:p>
        </w:tc>
      </w:tr>
      <w:tr w:rsidR="00085C05" w14:paraId="01D425E6" w14:textId="77777777">
        <w:tc>
          <w:tcPr>
            <w:tcW w:w="0" w:type="auto"/>
          </w:tcPr>
          <w:p w14:paraId="0C589C66" w14:textId="77777777" w:rsidR="00085C05" w:rsidRDefault="00000000">
            <w:pPr>
              <w:pStyle w:val="Compact"/>
            </w:pPr>
            <w:r>
              <w:t>Kajabi / Teachable</w:t>
            </w:r>
          </w:p>
        </w:tc>
        <w:tc>
          <w:tcPr>
            <w:tcW w:w="0" w:type="auto"/>
          </w:tcPr>
          <w:p w14:paraId="3E74BAF7" w14:textId="77777777" w:rsidR="00085C05" w:rsidRDefault="00000000">
            <w:pPr>
              <w:pStyle w:val="Compact"/>
            </w:pPr>
            <w:r>
              <w:t xml:space="preserve">Parcial (course builder) </w:t>
            </w:r>
            <w:r>
              <w:rPr>
                <w:vertAlign w:val="superscript"/>
              </w:rPr>
              <w:footnoteReference w:id="95"/>
            </w:r>
          </w:p>
        </w:tc>
        <w:tc>
          <w:tcPr>
            <w:tcW w:w="0" w:type="auto"/>
          </w:tcPr>
          <w:p w14:paraId="1F355B44" w14:textId="77777777" w:rsidR="00085C05" w:rsidRDefault="00000000">
            <w:pPr>
              <w:pStyle w:val="Compact"/>
            </w:pPr>
            <w:r>
              <w:t>✗</w:t>
            </w:r>
          </w:p>
        </w:tc>
        <w:tc>
          <w:tcPr>
            <w:tcW w:w="0" w:type="auto"/>
          </w:tcPr>
          <w:p w14:paraId="5CFB08C2" w14:textId="77777777" w:rsidR="00085C05" w:rsidRDefault="00000000">
            <w:pPr>
              <w:pStyle w:val="Compact"/>
            </w:pPr>
            <w:r>
              <w:t xml:space="preserve">Parcial (marketing) </w:t>
            </w:r>
            <w:r>
              <w:fldChar w:fldCharType="begin"/>
            </w:r>
            <w:r>
              <w:instrText>NOTEREF _Ref_Footnote_77 \h \f</w:instrText>
            </w:r>
            <w:r>
              <w:fldChar w:fldCharType="separate"/>
            </w:r>
            <w:r>
              <w:rPr>
                <w:vertAlign w:val="superscript"/>
              </w:rPr>
              <w:t>77</w:t>
            </w:r>
            <w:r>
              <w:fldChar w:fldCharType="end"/>
            </w:r>
          </w:p>
        </w:tc>
        <w:tc>
          <w:tcPr>
            <w:tcW w:w="0" w:type="auto"/>
          </w:tcPr>
          <w:p w14:paraId="258BD824" w14:textId="77777777" w:rsidR="00085C05" w:rsidRDefault="00000000">
            <w:pPr>
              <w:pStyle w:val="Compact"/>
            </w:pPr>
            <w:r>
              <w:t>✗</w:t>
            </w:r>
          </w:p>
        </w:tc>
        <w:tc>
          <w:tcPr>
            <w:tcW w:w="0" w:type="auto"/>
          </w:tcPr>
          <w:p w14:paraId="00EF9282" w14:textId="77777777" w:rsidR="00085C05" w:rsidRDefault="00000000">
            <w:pPr>
              <w:pStyle w:val="Compact"/>
            </w:pPr>
            <w:r>
              <w:t>✔ (venta directa)</w:t>
            </w:r>
          </w:p>
        </w:tc>
      </w:tr>
      <w:tr w:rsidR="00085C05" w14:paraId="0D391804" w14:textId="77777777">
        <w:tc>
          <w:tcPr>
            <w:tcW w:w="0" w:type="auto"/>
          </w:tcPr>
          <w:p w14:paraId="42BEA386" w14:textId="77777777" w:rsidR="00085C05" w:rsidRDefault="00000000">
            <w:pPr>
              <w:pStyle w:val="Compact"/>
            </w:pPr>
            <w:r>
              <w:t>Gumroad / Payhip / LS</w:t>
            </w:r>
          </w:p>
        </w:tc>
        <w:tc>
          <w:tcPr>
            <w:tcW w:w="0" w:type="auto"/>
          </w:tcPr>
          <w:p w14:paraId="26942F26" w14:textId="77777777" w:rsidR="00085C05" w:rsidRDefault="00000000">
            <w:pPr>
              <w:pStyle w:val="Compact"/>
            </w:pPr>
            <w:r>
              <w:t>✗</w:t>
            </w:r>
          </w:p>
        </w:tc>
        <w:tc>
          <w:tcPr>
            <w:tcW w:w="0" w:type="auto"/>
          </w:tcPr>
          <w:p w14:paraId="1DE17968" w14:textId="77777777" w:rsidR="00085C05" w:rsidRDefault="00000000">
            <w:pPr>
              <w:pStyle w:val="Compact"/>
            </w:pPr>
            <w:r>
              <w:t>✗</w:t>
            </w:r>
          </w:p>
        </w:tc>
        <w:tc>
          <w:tcPr>
            <w:tcW w:w="0" w:type="auto"/>
          </w:tcPr>
          <w:p w14:paraId="6DFB51E3" w14:textId="77777777" w:rsidR="00085C05" w:rsidRDefault="00000000">
            <w:pPr>
              <w:pStyle w:val="Compact"/>
            </w:pPr>
            <w:r>
              <w:t>✗</w:t>
            </w:r>
          </w:p>
        </w:tc>
        <w:tc>
          <w:tcPr>
            <w:tcW w:w="0" w:type="auto"/>
          </w:tcPr>
          <w:p w14:paraId="5D8159C3" w14:textId="77777777" w:rsidR="00085C05" w:rsidRDefault="00000000">
            <w:pPr>
              <w:pStyle w:val="Compact"/>
            </w:pPr>
            <w:r>
              <w:t>✗</w:t>
            </w:r>
          </w:p>
        </w:tc>
        <w:tc>
          <w:tcPr>
            <w:tcW w:w="0" w:type="auto"/>
          </w:tcPr>
          <w:p w14:paraId="465D880C" w14:textId="77777777" w:rsidR="00085C05" w:rsidRDefault="00000000">
            <w:pPr>
              <w:pStyle w:val="Compact"/>
            </w:pPr>
            <w:r>
              <w:t xml:space="preserve">✔ (checkout/MoR) </w:t>
            </w:r>
            <w:r>
              <w:fldChar w:fldCharType="begin"/>
            </w:r>
            <w:r>
              <w:instrText>NOTEREF _Ref_Footnote_50 \h \f</w:instrText>
            </w:r>
            <w:r>
              <w:fldChar w:fldCharType="separate"/>
            </w:r>
            <w:r>
              <w:rPr>
                <w:vertAlign w:val="superscript"/>
              </w:rPr>
              <w:t>50</w:t>
            </w:r>
            <w:r>
              <w:fldChar w:fldCharType="end"/>
            </w:r>
          </w:p>
        </w:tc>
      </w:tr>
      <w:tr w:rsidR="00085C05" w14:paraId="1515452C" w14:textId="77777777">
        <w:tc>
          <w:tcPr>
            <w:tcW w:w="0" w:type="auto"/>
          </w:tcPr>
          <w:p w14:paraId="625B1B41" w14:textId="77777777" w:rsidR="00085C05" w:rsidRDefault="00000000">
            <w:pPr>
              <w:pStyle w:val="Compact"/>
            </w:pPr>
            <w:r>
              <w:t>Draft2Digital</w:t>
            </w:r>
          </w:p>
        </w:tc>
        <w:tc>
          <w:tcPr>
            <w:tcW w:w="0" w:type="auto"/>
          </w:tcPr>
          <w:p w14:paraId="5C318998" w14:textId="77777777" w:rsidR="00085C05" w:rsidRDefault="00000000">
            <w:pPr>
              <w:pStyle w:val="Compact"/>
            </w:pPr>
            <w:r>
              <w:t>✗</w:t>
            </w:r>
          </w:p>
        </w:tc>
        <w:tc>
          <w:tcPr>
            <w:tcW w:w="0" w:type="auto"/>
          </w:tcPr>
          <w:p w14:paraId="73786528" w14:textId="77777777" w:rsidR="00085C05" w:rsidRDefault="00000000">
            <w:pPr>
              <w:pStyle w:val="Compact"/>
            </w:pPr>
            <w:r>
              <w:t xml:space="preserve">Parcial (básica) </w:t>
            </w:r>
            <w:r>
              <w:fldChar w:fldCharType="begin"/>
            </w:r>
            <w:r>
              <w:instrText>NOTEREF _Ref_Footnote_81 \h \f</w:instrText>
            </w:r>
            <w:r>
              <w:fldChar w:fldCharType="separate"/>
            </w:r>
            <w:r>
              <w:rPr>
                <w:vertAlign w:val="superscript"/>
              </w:rPr>
              <w:t>81</w:t>
            </w:r>
            <w:r>
              <w:fldChar w:fldCharType="end"/>
            </w:r>
          </w:p>
        </w:tc>
        <w:tc>
          <w:tcPr>
            <w:tcW w:w="0" w:type="auto"/>
          </w:tcPr>
          <w:p w14:paraId="6CCDA0AC" w14:textId="77777777" w:rsidR="00085C05" w:rsidRDefault="00000000">
            <w:pPr>
              <w:pStyle w:val="Compact"/>
            </w:pPr>
            <w:r>
              <w:t>✗</w:t>
            </w:r>
          </w:p>
        </w:tc>
        <w:tc>
          <w:tcPr>
            <w:tcW w:w="0" w:type="auto"/>
          </w:tcPr>
          <w:p w14:paraId="2799CB1D" w14:textId="77777777" w:rsidR="00085C05" w:rsidRDefault="00000000">
            <w:pPr>
              <w:pStyle w:val="Compact"/>
            </w:pPr>
            <w:r>
              <w:t>✗</w:t>
            </w:r>
          </w:p>
        </w:tc>
        <w:tc>
          <w:tcPr>
            <w:tcW w:w="0" w:type="auto"/>
          </w:tcPr>
          <w:p w14:paraId="5211EF47" w14:textId="77777777" w:rsidR="00085C05" w:rsidRDefault="00000000">
            <w:pPr>
              <w:pStyle w:val="Compact"/>
            </w:pPr>
            <w:r>
              <w:t xml:space="preserve">✔ (agregación retail) </w:t>
            </w:r>
            <w:r>
              <w:fldChar w:fldCharType="begin"/>
            </w:r>
            <w:r>
              <w:instrText>NOTEREF _Ref_Footnote_80 \h \f</w:instrText>
            </w:r>
            <w:r>
              <w:fldChar w:fldCharType="separate"/>
            </w:r>
            <w:r>
              <w:rPr>
                <w:vertAlign w:val="superscript"/>
              </w:rPr>
              <w:t>80</w:t>
            </w:r>
            <w:r>
              <w:fldChar w:fldCharType="end"/>
            </w:r>
          </w:p>
        </w:tc>
      </w:tr>
      <w:tr w:rsidR="00085C05" w14:paraId="6BC0433D" w14:textId="77777777">
        <w:tc>
          <w:tcPr>
            <w:tcW w:w="0" w:type="auto"/>
          </w:tcPr>
          <w:p w14:paraId="6C0B5C4F" w14:textId="77777777" w:rsidR="00085C05" w:rsidRDefault="00000000">
            <w:pPr>
              <w:pStyle w:val="Compact"/>
            </w:pPr>
            <w:r>
              <w:t>KDP / Kobo</w:t>
            </w:r>
          </w:p>
        </w:tc>
        <w:tc>
          <w:tcPr>
            <w:tcW w:w="0" w:type="auto"/>
          </w:tcPr>
          <w:p w14:paraId="0AE12CCD" w14:textId="77777777" w:rsidR="00085C05" w:rsidRDefault="00000000">
            <w:pPr>
              <w:pStyle w:val="Compact"/>
            </w:pPr>
            <w:r>
              <w:t>✗</w:t>
            </w:r>
          </w:p>
        </w:tc>
        <w:tc>
          <w:tcPr>
            <w:tcW w:w="0" w:type="auto"/>
          </w:tcPr>
          <w:p w14:paraId="7B806FBD" w14:textId="77777777" w:rsidR="00085C05" w:rsidRDefault="00000000">
            <w:pPr>
              <w:pStyle w:val="Compact"/>
            </w:pPr>
            <w:r>
              <w:t xml:space="preserve">Básica (Kindle Create) </w:t>
            </w:r>
            <w:r>
              <w:fldChar w:fldCharType="begin"/>
            </w:r>
            <w:r>
              <w:instrText>NOTEREF _Ref_Footnote_67 \h \f</w:instrText>
            </w:r>
            <w:r>
              <w:fldChar w:fldCharType="separate"/>
            </w:r>
            <w:r>
              <w:rPr>
                <w:vertAlign w:val="superscript"/>
              </w:rPr>
              <w:t>67</w:t>
            </w:r>
            <w:r>
              <w:fldChar w:fldCharType="end"/>
            </w:r>
          </w:p>
        </w:tc>
        <w:tc>
          <w:tcPr>
            <w:tcW w:w="0" w:type="auto"/>
          </w:tcPr>
          <w:p w14:paraId="094B9981" w14:textId="77777777" w:rsidR="00085C05" w:rsidRDefault="00000000">
            <w:pPr>
              <w:pStyle w:val="Compact"/>
            </w:pPr>
            <w:r>
              <w:t>✗</w:t>
            </w:r>
          </w:p>
        </w:tc>
        <w:tc>
          <w:tcPr>
            <w:tcW w:w="0" w:type="auto"/>
          </w:tcPr>
          <w:p w14:paraId="344C9672" w14:textId="77777777" w:rsidR="00085C05" w:rsidRDefault="00000000">
            <w:pPr>
              <w:pStyle w:val="Compact"/>
            </w:pPr>
            <w:r>
              <w:t>✗</w:t>
            </w:r>
          </w:p>
        </w:tc>
        <w:tc>
          <w:tcPr>
            <w:tcW w:w="0" w:type="auto"/>
          </w:tcPr>
          <w:p w14:paraId="7934702C" w14:textId="77777777" w:rsidR="00085C05" w:rsidRDefault="00000000">
            <w:pPr>
              <w:pStyle w:val="Compact"/>
            </w:pPr>
            <w:r>
              <w:t>✔ (marketplace)</w:t>
            </w:r>
          </w:p>
        </w:tc>
      </w:tr>
      <w:tr w:rsidR="00085C05" w14:paraId="26B3C186" w14:textId="77777777">
        <w:tc>
          <w:tcPr>
            <w:tcW w:w="0" w:type="auto"/>
          </w:tcPr>
          <w:p w14:paraId="49E073B8" w14:textId="77777777" w:rsidR="00085C05" w:rsidRDefault="00000000">
            <w:pPr>
              <w:pStyle w:val="Compact"/>
            </w:pPr>
            <w:r>
              <w:rPr>
                <w:b/>
                <w:bCs/>
              </w:rPr>
              <w:t>Anclora Talent (estado actual)</w:t>
            </w:r>
          </w:p>
        </w:tc>
        <w:tc>
          <w:tcPr>
            <w:tcW w:w="0" w:type="auto"/>
          </w:tcPr>
          <w:p w14:paraId="42C43DB9" w14:textId="77777777" w:rsidR="00085C05" w:rsidRDefault="00000000">
            <w:pPr>
              <w:pStyle w:val="Compact"/>
            </w:pPr>
            <w:r>
              <w:t>✔</w:t>
            </w:r>
          </w:p>
        </w:tc>
        <w:tc>
          <w:tcPr>
            <w:tcW w:w="0" w:type="auto"/>
          </w:tcPr>
          <w:p w14:paraId="7D80C0EA" w14:textId="77777777" w:rsidR="00085C05" w:rsidRDefault="00000000">
            <w:pPr>
              <w:pStyle w:val="Compact"/>
            </w:pPr>
            <w:r>
              <w:t>✔ (motor declarativo, TOC, panel de salud)</w:t>
            </w:r>
          </w:p>
        </w:tc>
        <w:tc>
          <w:tcPr>
            <w:tcW w:w="0" w:type="auto"/>
          </w:tcPr>
          <w:p w14:paraId="4F75C1A0" w14:textId="77777777" w:rsidR="00085C05" w:rsidRDefault="00000000">
            <w:pPr>
              <w:pStyle w:val="Compact"/>
            </w:pPr>
            <w:r>
              <w:t>Parcial (asistente)</w:t>
            </w:r>
          </w:p>
        </w:tc>
        <w:tc>
          <w:tcPr>
            <w:tcW w:w="0" w:type="auto"/>
          </w:tcPr>
          <w:p w14:paraId="7391F143" w14:textId="77777777" w:rsidR="00085C05" w:rsidRDefault="00000000">
            <w:pPr>
              <w:pStyle w:val="Compact"/>
            </w:pPr>
            <w:r>
              <w:t>Parcial</w:t>
            </w:r>
          </w:p>
        </w:tc>
        <w:tc>
          <w:tcPr>
            <w:tcW w:w="0" w:type="auto"/>
          </w:tcPr>
          <w:p w14:paraId="40E184E3" w14:textId="77777777" w:rsidR="00085C05" w:rsidRDefault="00000000">
            <w:pPr>
              <w:pStyle w:val="Compact"/>
            </w:pPr>
            <w:r>
              <w:t>✗ (EPUB pendiente)</w:t>
            </w:r>
          </w:p>
        </w:tc>
      </w:tr>
    </w:tbl>
    <w:p w14:paraId="5913E8FA" w14:textId="77777777" w:rsidR="00085C05" w:rsidRDefault="00000000">
      <w:pPr>
        <w:pStyle w:val="BodyText"/>
      </w:pPr>
      <w:r>
        <w:t xml:space="preserve">Ningún actor cubre las cinco dimensiones, y la mayoría no cubre más de dos. Los patrones que emergen son más valiosos que los vacíos individuales: la colaboración aparece solo donde el formato es trivial (Canva, Reedsy) y está penalizada con peaje donde el formato es serio (Atticus); la IA aparece solo donde no hay composición que gobernar; y la distribución vive sistemáticamente divorciada de la creación porque cada canal exige formatos distintos y ningún creador de herramientas ha querido absorber esa complejidad. El outlier es la propia Anclora: es la única fila de la tabla cuya columna de composición gobernada está marcada con capacidades que el mercado entero carece — motor declarativo, TOC generado desde modelo semántico </w:t>
      </w:r>
      <w:r>
        <w:lastRenderedPageBreak/>
        <w:t>y panel de salud de violaciones de reglas — mientras sus vacíos (IA gobernada, EPUB, distribución) son exactamente los que las tendencias de 2026 (año agéntico, MOBI muerto, direct-to-reader) acaban de convertir en urgentes. El hueco competitivo existe, es defendible porque exige profundidad de dominio editorial que los generadores no tienen, y Anclora ya lo ocupa parcialmente en código: la cuestión estratégica ya no es si el espacio existe, sino quién lo empaqueta primero como producto. El capítulo siguiente traduce este hueco a los dolores concretos del usuario y a la propuesta de valor.</w:t>
      </w:r>
    </w:p>
    <w:p w14:paraId="6BDD9A9B" w14:textId="77777777" w:rsidR="00085C05" w:rsidRDefault="00000000">
      <w:pPr>
        <w:pStyle w:val="Heading2"/>
      </w:pPr>
      <w:bookmarkStart w:id="113" w:name="Xefebe37df0658d756a2ead5efad400dde45726e"/>
      <w:bookmarkEnd w:id="26"/>
      <w:bookmarkEnd w:id="110"/>
      <w:r>
        <w:t>3. La oportunidad: dolores del mercado y propuesta de valor diferencial</w:t>
      </w:r>
    </w:p>
    <w:p w14:paraId="2F8119B5" w14:textId="77777777" w:rsidR="00085C05" w:rsidRDefault="00000000">
      <w:pPr>
        <w:pStyle w:val="FirstParagraph"/>
      </w:pPr>
      <w:r>
        <w:t>El capítulo 2 estableció que el hueco competitivo existe; este capítulo responde la pregunta que falta: ¿por qué ahora y para quién? La respuesta corta es que el dolor que originó Anclora —un párrafo añadido que crea páginas intermedias y deja el índice desactualizado— no es una anécdota personal sino uno de los tres dolores más frecuentes del sector y el más intenso de todos, cuantificable en dólares que el mercado ya paga por hacerlo desaparecer. La complicación: la competencia resuelve los dolores superficiales (maquetar bonito una vez) y deja abierto el profundo (mantener el producto coherente mientras vive). La resolución es un posicionamiento —productos digitales que nunca se rompen— que el capítulo 4 convertirá en plan por fases.</w:t>
      </w:r>
    </w:p>
    <w:p w14:paraId="06C3EFBA" w14:textId="77777777" w:rsidR="00085C05" w:rsidRDefault="00000000">
      <w:pPr>
        <w:pStyle w:val="Heading3"/>
      </w:pPr>
      <w:bookmarkStart w:id="114" w:name="X0e90d9ed459b7f452862904b57db3c56c6cde22"/>
      <w:r>
        <w:t>3.1 El dolor del fundador es un patrón de mercado top-3</w:t>
      </w:r>
    </w:p>
    <w:p w14:paraId="25D0642D" w14:textId="77777777" w:rsidR="00085C05" w:rsidRDefault="00000000">
      <w:pPr>
        <w:pStyle w:val="Heading4"/>
      </w:pPr>
      <w:bookmarkStart w:id="115" w:name="X27646de96a4fac8edd50b261a37998479d13e4c"/>
      <w:r>
        <w:t>3.1.1 Ranking frecuencia × intensidad: los tres dolores de cabeza son los que el motor ya resuelve</w:t>
      </w:r>
    </w:p>
    <w:p w14:paraId="469FCF44" w14:textId="77777777" w:rsidR="00085C05" w:rsidRDefault="00000000">
      <w:pPr>
        <w:pStyle w:val="FirstParagraph"/>
      </w:pPr>
      <w:r>
        <w:t>La investigación de voz de cliente (&gt;30 búsquedas independientes en foros de autores, reseñas y encuestas sectoriales 2023-2026) ordena los dolores del flujo de producción editorial por frecuencia (recurrencia en fuentes independientes) e intensidad (lenguaje emocional y coste asumido). El resultado valida la tesis fundacional con una precisión poco habitual: los tres dolores dominantes son exactamente los que el motor de composición declarativa de Anclora resuelve en código.</w:t>
      </w:r>
    </w:p>
    <w:tbl>
      <w:tblPr>
        <w:tblStyle w:val="Table"/>
        <w:tblW w:w="5000" w:type="pct"/>
        <w:tblLook w:val="0020" w:firstRow="1" w:lastRow="0" w:firstColumn="0" w:lastColumn="0" w:noHBand="0" w:noVBand="0"/>
      </w:tblPr>
      <w:tblGrid>
        <w:gridCol w:w="362"/>
        <w:gridCol w:w="1668"/>
        <w:gridCol w:w="1312"/>
        <w:gridCol w:w="1520"/>
        <w:gridCol w:w="2424"/>
        <w:gridCol w:w="1768"/>
      </w:tblGrid>
      <w:tr w:rsidR="00085C05" w14:paraId="1FEF7866"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7BDF3107" w14:textId="77777777" w:rsidR="00085C05" w:rsidRDefault="00000000">
            <w:pPr>
              <w:pStyle w:val="Compact"/>
            </w:pPr>
            <w:r>
              <w:t>#</w:t>
            </w:r>
          </w:p>
        </w:tc>
        <w:tc>
          <w:tcPr>
            <w:tcW w:w="0" w:type="auto"/>
          </w:tcPr>
          <w:p w14:paraId="3C68C4C4" w14:textId="77777777" w:rsidR="00085C05" w:rsidRDefault="00000000">
            <w:pPr>
              <w:pStyle w:val="Compact"/>
            </w:pPr>
            <w:r>
              <w:t>Dolor</w:t>
            </w:r>
          </w:p>
        </w:tc>
        <w:tc>
          <w:tcPr>
            <w:tcW w:w="0" w:type="auto"/>
          </w:tcPr>
          <w:p w14:paraId="1A516A59" w14:textId="77777777" w:rsidR="00085C05" w:rsidRDefault="00000000">
            <w:pPr>
              <w:pStyle w:val="Compact"/>
            </w:pPr>
            <w:r>
              <w:t>Frecuencia</w:t>
            </w:r>
          </w:p>
        </w:tc>
        <w:tc>
          <w:tcPr>
            <w:tcW w:w="0" w:type="auto"/>
          </w:tcPr>
          <w:p w14:paraId="40699553" w14:textId="77777777" w:rsidR="00085C05" w:rsidRDefault="00000000">
            <w:pPr>
              <w:pStyle w:val="Compact"/>
            </w:pPr>
            <w:r>
              <w:t>Intensidad</w:t>
            </w:r>
          </w:p>
        </w:tc>
        <w:tc>
          <w:tcPr>
            <w:tcW w:w="0" w:type="auto"/>
          </w:tcPr>
          <w:p w14:paraId="2D926573" w14:textId="77777777" w:rsidR="00085C05" w:rsidRDefault="00000000">
            <w:pPr>
              <w:pStyle w:val="Compact"/>
            </w:pPr>
            <w:r>
              <w:t>Evidencia clave</w:t>
            </w:r>
          </w:p>
        </w:tc>
        <w:tc>
          <w:tcPr>
            <w:tcW w:w="0" w:type="auto"/>
          </w:tcPr>
          <w:p w14:paraId="644AAD83" w14:textId="77777777" w:rsidR="00085C05" w:rsidRDefault="00000000">
            <w:pPr>
              <w:pStyle w:val="Compact"/>
            </w:pPr>
            <w:r>
              <w:t>WTP asociado (documentado)</w:t>
            </w:r>
          </w:p>
        </w:tc>
      </w:tr>
      <w:tr w:rsidR="00085C05" w14:paraId="247551D1" w14:textId="77777777">
        <w:tc>
          <w:tcPr>
            <w:tcW w:w="0" w:type="auto"/>
          </w:tcPr>
          <w:p w14:paraId="40EA938E" w14:textId="77777777" w:rsidR="00085C05" w:rsidRDefault="00000000">
            <w:pPr>
              <w:pStyle w:val="Compact"/>
            </w:pPr>
            <w:r>
              <w:t>1</w:t>
            </w:r>
          </w:p>
        </w:tc>
        <w:tc>
          <w:tcPr>
            <w:tcW w:w="0" w:type="auto"/>
          </w:tcPr>
          <w:p w14:paraId="022B98C3" w14:textId="77777777" w:rsidR="00085C05" w:rsidRDefault="00000000">
            <w:pPr>
              <w:pStyle w:val="Compact"/>
            </w:pPr>
            <w:r>
              <w:t xml:space="preserve">Maquetación global: “la fase técnica mata” (estilos, márgenes, saltos, </w:t>
            </w:r>
            <w:r>
              <w:lastRenderedPageBreak/>
              <w:t>headers)</w:t>
            </w:r>
          </w:p>
        </w:tc>
        <w:tc>
          <w:tcPr>
            <w:tcW w:w="0" w:type="auto"/>
          </w:tcPr>
          <w:p w14:paraId="5D903313" w14:textId="77777777" w:rsidR="00085C05" w:rsidRDefault="00000000">
            <w:pPr>
              <w:pStyle w:val="Compact"/>
            </w:pPr>
            <w:r>
              <w:lastRenderedPageBreak/>
              <w:t>Muy alta</w:t>
            </w:r>
          </w:p>
        </w:tc>
        <w:tc>
          <w:tcPr>
            <w:tcW w:w="0" w:type="auto"/>
          </w:tcPr>
          <w:p w14:paraId="00044FA1" w14:textId="77777777" w:rsidR="00085C05" w:rsidRDefault="00000000">
            <w:pPr>
              <w:pStyle w:val="Compact"/>
            </w:pPr>
            <w:r>
              <w:t>Alta</w:t>
            </w:r>
          </w:p>
        </w:tc>
        <w:tc>
          <w:tcPr>
            <w:tcW w:w="0" w:type="auto"/>
          </w:tcPr>
          <w:p w14:paraId="406F70EF" w14:textId="77777777" w:rsidR="00085C05" w:rsidRDefault="00000000">
            <w:pPr>
              <w:pStyle w:val="Compact"/>
            </w:pPr>
            <w:r>
              <w:t xml:space="preserve">Patrón: categoría dominante de guías de “errores KDP”; Word→KDP produce “messy KFX: style bleed, broken nested lists” </w:t>
            </w:r>
            <w:r>
              <w:rPr>
                <w:vertAlign w:val="superscript"/>
              </w:rPr>
              <w:footnoteReference w:id="96"/>
            </w:r>
            <w:r>
              <w:t xml:space="preserve">; DIY en </w:t>
            </w:r>
            <w:r>
              <w:lastRenderedPageBreak/>
              <w:t xml:space="preserve">Word: “10-20 horas” con “header nightmare” </w:t>
            </w:r>
            <w:r>
              <w:rPr>
                <w:vertAlign w:val="superscript"/>
              </w:rPr>
              <w:footnoteReference w:id="97"/>
            </w:r>
          </w:p>
        </w:tc>
        <w:tc>
          <w:tcPr>
            <w:tcW w:w="0" w:type="auto"/>
          </w:tcPr>
          <w:p w14:paraId="0E4C696E" w14:textId="77777777" w:rsidR="00085C05" w:rsidRDefault="00000000">
            <w:pPr>
              <w:pStyle w:val="Compact"/>
            </w:pPr>
            <w:r>
              <w:lastRenderedPageBreak/>
              <w:t xml:space="preserve">$475-1.275/libro en formateadores Reedsy (media ~$800) </w:t>
            </w:r>
            <w:r>
              <w:fldChar w:fldCharType="begin"/>
            </w:r>
            <w:r>
              <w:instrText>NOTEREF _Ref_Footnote_6 \h \f</w:instrText>
            </w:r>
            <w:r>
              <w:fldChar w:fldCharType="separate"/>
            </w:r>
            <w:r>
              <w:t>6</w:t>
            </w:r>
            <w:r>
              <w:fldChar w:fldCharType="end"/>
            </w:r>
            <w:r>
              <w:t xml:space="preserve"> </w:t>
            </w:r>
            <w:r>
              <w:fldChar w:fldCharType="begin"/>
            </w:r>
            <w:r>
              <w:instrText>NOTEREF _Ref_Footnote_7 \h \f</w:instrText>
            </w:r>
            <w:r>
              <w:fldChar w:fldCharType="separate"/>
            </w:r>
            <w:r>
              <w:t>7</w:t>
            </w:r>
            <w:r>
              <w:fldChar w:fldCharType="end"/>
            </w:r>
          </w:p>
        </w:tc>
      </w:tr>
      <w:tr w:rsidR="00085C05" w14:paraId="717CE627" w14:textId="77777777">
        <w:tc>
          <w:tcPr>
            <w:tcW w:w="0" w:type="auto"/>
          </w:tcPr>
          <w:p w14:paraId="43D082E3" w14:textId="77777777" w:rsidR="00085C05" w:rsidRDefault="00000000">
            <w:pPr>
              <w:pStyle w:val="Compact"/>
            </w:pPr>
            <w:r>
              <w:t>2</w:t>
            </w:r>
          </w:p>
        </w:tc>
        <w:tc>
          <w:tcPr>
            <w:tcW w:w="0" w:type="auto"/>
          </w:tcPr>
          <w:p w14:paraId="313A0EA4" w14:textId="77777777" w:rsidR="00085C05" w:rsidRDefault="00000000">
            <w:pPr>
              <w:pStyle w:val="Compact"/>
            </w:pPr>
            <w:r>
              <w:t>TOC/índice que falla o no se actualiza</w:t>
            </w:r>
          </w:p>
        </w:tc>
        <w:tc>
          <w:tcPr>
            <w:tcW w:w="0" w:type="auto"/>
          </w:tcPr>
          <w:p w14:paraId="1B506AB2" w14:textId="77777777" w:rsidR="00085C05" w:rsidRDefault="00000000">
            <w:pPr>
              <w:pStyle w:val="Compact"/>
            </w:pPr>
            <w:r>
              <w:t>Muy alta</w:t>
            </w:r>
          </w:p>
        </w:tc>
        <w:tc>
          <w:tcPr>
            <w:tcW w:w="0" w:type="auto"/>
          </w:tcPr>
          <w:p w14:paraId="7719DC38" w14:textId="77777777" w:rsidR="00085C05" w:rsidRDefault="00000000">
            <w:pPr>
              <w:pStyle w:val="Compact"/>
            </w:pPr>
            <w:r>
              <w:t>Alta</w:t>
            </w:r>
          </w:p>
        </w:tc>
        <w:tc>
          <w:tcPr>
            <w:tcW w:w="0" w:type="auto"/>
          </w:tcPr>
          <w:p w14:paraId="36223AF8" w14:textId="77777777" w:rsidR="00085C05" w:rsidRDefault="00000000">
            <w:pPr>
              <w:pStyle w:val="Compact"/>
            </w:pPr>
            <w:r>
              <w:t xml:space="preserve">Patrón: “broken TOCs are a common rejection trigger” en KDP </w:t>
            </w:r>
            <w:r>
              <w:fldChar w:fldCharType="begin"/>
            </w:r>
            <w:r>
              <w:instrText>NOTEREF _Ref_Footnote_5 \h \f</w:instrText>
            </w:r>
            <w:r>
              <w:fldChar w:fldCharType="separate"/>
            </w:r>
            <w:r>
              <w:t>5</w:t>
            </w:r>
            <w:r>
              <w:fldChar w:fldCharType="end"/>
            </w:r>
            <w:r>
              <w:t xml:space="preserve">; blog español con 81 comentarios de autores peleando con índices Word→Kindle </w:t>
            </w:r>
            <w:r>
              <w:rPr>
                <w:vertAlign w:val="superscript"/>
              </w:rPr>
              <w:footnoteReference w:id="98"/>
            </w:r>
          </w:p>
        </w:tc>
        <w:tc>
          <w:tcPr>
            <w:tcW w:w="0" w:type="auto"/>
          </w:tcPr>
          <w:p w14:paraId="5A3D01DA" w14:textId="77777777" w:rsidR="00085C05" w:rsidRDefault="00000000">
            <w:pPr>
              <w:pStyle w:val="Compact"/>
            </w:pPr>
            <w:r>
              <w:t xml:space="preserve">Incluido en el fee de formateación; el rechazo bloquea la publicación </w:t>
            </w:r>
            <w:r>
              <w:fldChar w:fldCharType="begin"/>
            </w:r>
            <w:r>
              <w:instrText>NOTEREF _Ref_Footnote_12 \h \f</w:instrText>
            </w:r>
            <w:r>
              <w:fldChar w:fldCharType="separate"/>
            </w:r>
            <w:r>
              <w:rPr>
                <w:vertAlign w:val="superscript"/>
              </w:rPr>
              <w:t>12</w:t>
            </w:r>
            <w:r>
              <w:fldChar w:fldCharType="end"/>
            </w:r>
          </w:p>
        </w:tc>
      </w:tr>
      <w:tr w:rsidR="00085C05" w14:paraId="1139A891" w14:textId="77777777">
        <w:tc>
          <w:tcPr>
            <w:tcW w:w="0" w:type="auto"/>
          </w:tcPr>
          <w:p w14:paraId="5F965DD4" w14:textId="77777777" w:rsidR="00085C05" w:rsidRDefault="00000000">
            <w:pPr>
              <w:pStyle w:val="Compact"/>
            </w:pPr>
            <w:r>
              <w:t>3</w:t>
            </w:r>
          </w:p>
        </w:tc>
        <w:tc>
          <w:tcPr>
            <w:tcW w:w="0" w:type="auto"/>
          </w:tcPr>
          <w:p w14:paraId="269A6B01" w14:textId="77777777" w:rsidR="00085C05" w:rsidRDefault="00000000">
            <w:pPr>
              <w:pStyle w:val="Compact"/>
            </w:pPr>
            <w:r>
              <w:t>Revisiones tardías que rompen el maquetado</w:t>
            </w:r>
          </w:p>
        </w:tc>
        <w:tc>
          <w:tcPr>
            <w:tcW w:w="0" w:type="auto"/>
          </w:tcPr>
          <w:p w14:paraId="0D07C8CD" w14:textId="77777777" w:rsidR="00085C05" w:rsidRDefault="00000000">
            <w:pPr>
              <w:pStyle w:val="Compact"/>
            </w:pPr>
            <w:r>
              <w:t>Alta</w:t>
            </w:r>
          </w:p>
        </w:tc>
        <w:tc>
          <w:tcPr>
            <w:tcW w:w="0" w:type="auto"/>
          </w:tcPr>
          <w:p w14:paraId="7EAF263A" w14:textId="77777777" w:rsidR="00085C05" w:rsidRDefault="00000000">
            <w:pPr>
              <w:pStyle w:val="Compact"/>
            </w:pPr>
            <w:r>
              <w:rPr>
                <w:b/>
                <w:bCs/>
              </w:rPr>
              <w:t>Muy alta</w:t>
            </w:r>
          </w:p>
        </w:tc>
        <w:tc>
          <w:tcPr>
            <w:tcW w:w="0" w:type="auto"/>
          </w:tcPr>
          <w:p w14:paraId="205A8365" w14:textId="77777777" w:rsidR="00085C05" w:rsidRDefault="00000000">
            <w:pPr>
              <w:pStyle w:val="Compact"/>
            </w:pPr>
            <w:r>
              <w:t xml:space="preserve">Patrón + casos vívidos: cada cambio post-maquetado con un profesional es “billable, time consuming” </w:t>
            </w:r>
            <w:r>
              <w:rPr>
                <w:vertAlign w:val="superscript"/>
              </w:rPr>
              <w:footnoteReference w:id="99"/>
            </w:r>
            <w:r>
              <w:t xml:space="preserve">; dos erratas congeladas para siempre en InDesign </w:t>
            </w:r>
            <w:r>
              <w:rPr>
                <w:vertAlign w:val="superscript"/>
              </w:rPr>
              <w:footnoteReference w:id="100"/>
            </w:r>
            <w:r>
              <w:t xml:space="preserve">; “every time I edit a page, all content moves” (Designrr) </w:t>
            </w:r>
            <w:r>
              <w:rPr>
                <w:vertAlign w:val="superscript"/>
              </w:rPr>
              <w:footnoteReference w:id="101"/>
            </w:r>
          </w:p>
        </w:tc>
        <w:tc>
          <w:tcPr>
            <w:tcW w:w="0" w:type="auto"/>
          </w:tcPr>
          <w:p w14:paraId="4B6F8B23" w14:textId="77777777" w:rsidR="00085C05" w:rsidRDefault="00000000">
            <w:pPr>
              <w:pStyle w:val="Compact"/>
            </w:pPr>
            <w:r>
              <w:t xml:space="preserve">Do-over tax de 30×: $50 en Fiverr que acaban en $1.500 en Reedsy </w:t>
            </w:r>
            <w:r>
              <w:fldChar w:fldCharType="begin"/>
            </w:r>
            <w:r>
              <w:instrText>NOTEREF _Ref_Footnote_7 \h \f</w:instrText>
            </w:r>
            <w:r>
              <w:fldChar w:fldCharType="separate"/>
            </w:r>
            <w:r>
              <w:t>7</w:t>
            </w:r>
            <w:r>
              <w:fldChar w:fldCharType="end"/>
            </w:r>
            <w:r>
              <w:t xml:space="preserve">; rondas de revisión con esperas de semanas </w:t>
            </w:r>
            <w:r>
              <w:fldChar w:fldCharType="begin"/>
            </w:r>
            <w:r>
              <w:instrText>NOTEREF _Ref_Footnote_97 \h \f</w:instrText>
            </w:r>
            <w:r>
              <w:fldChar w:fldCharType="separate"/>
            </w:r>
            <w:r>
              <w:rPr>
                <w:vertAlign w:val="superscript"/>
              </w:rPr>
              <w:t>97</w:t>
            </w:r>
            <w:r>
              <w:fldChar w:fldCharType="end"/>
            </w:r>
          </w:p>
        </w:tc>
      </w:tr>
      <w:tr w:rsidR="00085C05" w14:paraId="5BC5C008" w14:textId="77777777">
        <w:tc>
          <w:tcPr>
            <w:tcW w:w="0" w:type="auto"/>
          </w:tcPr>
          <w:p w14:paraId="6C0476E6" w14:textId="77777777" w:rsidR="00085C05" w:rsidRDefault="00000000">
            <w:pPr>
              <w:pStyle w:val="Compact"/>
            </w:pPr>
            <w:r>
              <w:t>4</w:t>
            </w:r>
          </w:p>
        </w:tc>
        <w:tc>
          <w:tcPr>
            <w:tcW w:w="0" w:type="auto"/>
          </w:tcPr>
          <w:p w14:paraId="0252468D" w14:textId="77777777" w:rsidR="00085C05" w:rsidRDefault="00000000">
            <w:pPr>
              <w:pStyle w:val="Compact"/>
            </w:pPr>
            <w:r>
              <w:t>Importación desde Word/Google Docs que pierde estructura</w:t>
            </w:r>
          </w:p>
        </w:tc>
        <w:tc>
          <w:tcPr>
            <w:tcW w:w="0" w:type="auto"/>
          </w:tcPr>
          <w:p w14:paraId="29693F67" w14:textId="77777777" w:rsidR="00085C05" w:rsidRDefault="00000000">
            <w:pPr>
              <w:pStyle w:val="Compact"/>
            </w:pPr>
            <w:r>
              <w:t>Alta</w:t>
            </w:r>
          </w:p>
        </w:tc>
        <w:tc>
          <w:tcPr>
            <w:tcW w:w="0" w:type="auto"/>
          </w:tcPr>
          <w:p w14:paraId="45B22464" w14:textId="77777777" w:rsidR="00085C05" w:rsidRDefault="00000000">
            <w:pPr>
              <w:pStyle w:val="Compact"/>
            </w:pPr>
            <w:r>
              <w:t>Media-alta</w:t>
            </w:r>
          </w:p>
        </w:tc>
        <w:tc>
          <w:tcPr>
            <w:tcW w:w="0" w:type="auto"/>
          </w:tcPr>
          <w:p w14:paraId="5E2AF63B" w14:textId="77777777" w:rsidR="00085C05" w:rsidRDefault="00000000">
            <w:pPr>
              <w:pStyle w:val="Compact"/>
            </w:pPr>
            <w:r>
              <w:t xml:space="preserve">Patrón: Atticus “won’t recognize headings on import” </w:t>
            </w:r>
            <w:r>
              <w:rPr>
                <w:vertAlign w:val="superscript"/>
              </w:rPr>
              <w:footnoteReference w:id="102"/>
            </w:r>
            <w:r>
              <w:t xml:space="preserve">; “Imports are a disaster… a jumbled mess” (Designrr) </w:t>
            </w:r>
            <w:r>
              <w:fldChar w:fldCharType="begin"/>
            </w:r>
            <w:r>
              <w:instrText>NOTEREF _Ref_Footnote_101 \h \f</w:instrText>
            </w:r>
            <w:r>
              <w:fldChar w:fldCharType="separate"/>
            </w:r>
            <w:r>
              <w:rPr>
                <w:vertAlign w:val="superscript"/>
              </w:rPr>
              <w:t>101</w:t>
            </w:r>
            <w:r>
              <w:fldChar w:fldCharType="end"/>
            </w:r>
            <w:r>
              <w:t xml:space="preserve">; cadena </w:t>
            </w:r>
            <w:r>
              <w:lastRenderedPageBreak/>
              <w:t xml:space="preserve">Docs→Word→Vellum: “it killed me” </w:t>
            </w:r>
            <w:r>
              <w:fldChar w:fldCharType="begin"/>
            </w:r>
            <w:r>
              <w:instrText>NOTEREF _Ref_Footnote_99 \h \f</w:instrText>
            </w:r>
            <w:r>
              <w:fldChar w:fldCharType="separate"/>
            </w:r>
            <w:r>
              <w:rPr>
                <w:vertAlign w:val="superscript"/>
              </w:rPr>
              <w:t>99</w:t>
            </w:r>
            <w:r>
              <w:fldChar w:fldCharType="end"/>
            </w:r>
          </w:p>
        </w:tc>
        <w:tc>
          <w:tcPr>
            <w:tcW w:w="0" w:type="auto"/>
          </w:tcPr>
          <w:p w14:paraId="31351079" w14:textId="77777777" w:rsidR="00085C05" w:rsidRDefault="00000000">
            <w:pPr>
              <w:pStyle w:val="Compact"/>
            </w:pPr>
            <w:r>
              <w:lastRenderedPageBreak/>
              <w:t xml:space="preserve">Horas de limpieza manual por libro; Vellum 4.1 mejoró el import por esta presión </w:t>
            </w:r>
            <w:r>
              <w:rPr>
                <w:vertAlign w:val="superscript"/>
              </w:rPr>
              <w:lastRenderedPageBreak/>
              <w:footnoteReference w:id="103"/>
            </w:r>
          </w:p>
        </w:tc>
      </w:tr>
      <w:tr w:rsidR="00085C05" w14:paraId="7470CC36" w14:textId="77777777">
        <w:tc>
          <w:tcPr>
            <w:tcW w:w="0" w:type="auto"/>
          </w:tcPr>
          <w:p w14:paraId="4C64D716" w14:textId="77777777" w:rsidR="00085C05" w:rsidRDefault="00000000">
            <w:pPr>
              <w:pStyle w:val="Compact"/>
            </w:pPr>
            <w:r>
              <w:lastRenderedPageBreak/>
              <w:t>5</w:t>
            </w:r>
          </w:p>
        </w:tc>
        <w:tc>
          <w:tcPr>
            <w:tcW w:w="0" w:type="auto"/>
          </w:tcPr>
          <w:p w14:paraId="539C3B36" w14:textId="77777777" w:rsidR="00085C05" w:rsidRDefault="00000000">
            <w:pPr>
              <w:pStyle w:val="Compact"/>
            </w:pPr>
            <w:r>
              <w:t>EPUB rechazado por validadores (EPUBCheck, KDP, IngramSpark, Apple)</w:t>
            </w:r>
          </w:p>
        </w:tc>
        <w:tc>
          <w:tcPr>
            <w:tcW w:w="0" w:type="auto"/>
          </w:tcPr>
          <w:p w14:paraId="2B9866C0" w14:textId="77777777" w:rsidR="00085C05" w:rsidRDefault="00000000">
            <w:pPr>
              <w:pStyle w:val="Compact"/>
            </w:pPr>
            <w:r>
              <w:t>Alta</w:t>
            </w:r>
          </w:p>
        </w:tc>
        <w:tc>
          <w:tcPr>
            <w:tcW w:w="0" w:type="auto"/>
          </w:tcPr>
          <w:p w14:paraId="10AAAF51" w14:textId="77777777" w:rsidR="00085C05" w:rsidRDefault="00000000">
            <w:pPr>
              <w:pStyle w:val="Compact"/>
            </w:pPr>
            <w:r>
              <w:t>Alta (bloqueante)</w:t>
            </w:r>
          </w:p>
        </w:tc>
        <w:tc>
          <w:tcPr>
            <w:tcW w:w="0" w:type="auto"/>
          </w:tcPr>
          <w:p w14:paraId="7F14688D" w14:textId="77777777" w:rsidR="00085C05" w:rsidRDefault="00000000">
            <w:pPr>
              <w:pStyle w:val="Compact"/>
            </w:pPr>
            <w:r>
              <w:t xml:space="preserve">Patrón: PKG-026 es “the single most common reason for EPUB rejection” </w:t>
            </w:r>
            <w:r>
              <w:rPr>
                <w:vertAlign w:val="superscript"/>
              </w:rPr>
              <w:footnoteReference w:id="104"/>
            </w:r>
            <w:r>
              <w:t xml:space="preserve">; fallan incluso pandoc, Atticus y Scrivener </w:t>
            </w:r>
            <w:r>
              <w:rPr>
                <w:vertAlign w:val="superscript"/>
              </w:rPr>
              <w:footnoteReference w:id="105"/>
            </w:r>
            <w:r>
              <w:t xml:space="preserve"> </w:t>
            </w:r>
            <w:r>
              <w:fldChar w:fldCharType="begin"/>
            </w:r>
            <w:r>
              <w:instrText>NOTEREF _Ref_Footnote_12 \h \f</w:instrText>
            </w:r>
            <w:r>
              <w:fldChar w:fldCharType="separate"/>
            </w:r>
            <w:r>
              <w:rPr>
                <w:vertAlign w:val="superscript"/>
              </w:rPr>
              <w:t>12</w:t>
            </w:r>
            <w:r>
              <w:fldChar w:fldCharType="end"/>
            </w:r>
            <w:r>
              <w:t xml:space="preserve"> </w:t>
            </w:r>
            <w:r>
              <w:rPr>
                <w:vertAlign w:val="superscript"/>
              </w:rPr>
              <w:footnoteReference w:id="106"/>
            </w:r>
          </w:p>
        </w:tc>
        <w:tc>
          <w:tcPr>
            <w:tcW w:w="0" w:type="auto"/>
          </w:tcPr>
          <w:p w14:paraId="4CFBD6EB" w14:textId="77777777" w:rsidR="00085C05" w:rsidRDefault="00000000">
            <w:pPr>
              <w:pStyle w:val="Compact"/>
            </w:pPr>
            <w:r>
              <w:t xml:space="preserve">Auto-fix a $12,99/archivo </w:t>
            </w:r>
            <w:r>
              <w:fldChar w:fldCharType="begin"/>
            </w:r>
            <w:r>
              <w:instrText>NOTEREF _Ref_Footnote_104 \h \f</w:instrText>
            </w:r>
            <w:r>
              <w:fldChar w:fldCharType="separate"/>
            </w:r>
            <w:r>
              <w:rPr>
                <w:vertAlign w:val="superscript"/>
              </w:rPr>
              <w:t>104</w:t>
            </w:r>
            <w:r>
              <w:fldChar w:fldCharType="end"/>
            </w:r>
            <w:r>
              <w:t xml:space="preserve">; servicios desde £69 por “arreglar el EPUB que KDP rechazó” </w:t>
            </w:r>
            <w:r>
              <w:fldChar w:fldCharType="begin"/>
            </w:r>
            <w:r>
              <w:instrText>NOTEREF _Ref_Footnote_12 \h \f</w:instrText>
            </w:r>
            <w:r>
              <w:fldChar w:fldCharType="separate"/>
            </w:r>
            <w:r>
              <w:rPr>
                <w:vertAlign w:val="superscript"/>
              </w:rPr>
              <w:t>12</w:t>
            </w:r>
            <w:r>
              <w:fldChar w:fldCharType="end"/>
            </w:r>
          </w:p>
        </w:tc>
      </w:tr>
      <w:tr w:rsidR="00085C05" w14:paraId="551AB7DF" w14:textId="77777777">
        <w:tc>
          <w:tcPr>
            <w:tcW w:w="0" w:type="auto"/>
          </w:tcPr>
          <w:p w14:paraId="26572177" w14:textId="77777777" w:rsidR="00085C05" w:rsidRDefault="00000000">
            <w:pPr>
              <w:pStyle w:val="Compact"/>
            </w:pPr>
            <w:r>
              <w:t>6</w:t>
            </w:r>
          </w:p>
        </w:tc>
        <w:tc>
          <w:tcPr>
            <w:tcW w:w="0" w:type="auto"/>
          </w:tcPr>
          <w:p w14:paraId="77AB90CB" w14:textId="77777777" w:rsidR="00085C05" w:rsidRDefault="00000000">
            <w:pPr>
              <w:pStyle w:val="Compact"/>
            </w:pPr>
            <w:r>
              <w:t>Coste y lock-in (Vellum solo-Mac, suscripciones)</w:t>
            </w:r>
          </w:p>
        </w:tc>
        <w:tc>
          <w:tcPr>
            <w:tcW w:w="0" w:type="auto"/>
          </w:tcPr>
          <w:p w14:paraId="0BDEAF4A" w14:textId="77777777" w:rsidR="00085C05" w:rsidRDefault="00000000">
            <w:pPr>
              <w:pStyle w:val="Compact"/>
            </w:pPr>
            <w:r>
              <w:t>Alta</w:t>
            </w:r>
          </w:p>
        </w:tc>
        <w:tc>
          <w:tcPr>
            <w:tcW w:w="0" w:type="auto"/>
          </w:tcPr>
          <w:p w14:paraId="78F760F4" w14:textId="77777777" w:rsidR="00085C05" w:rsidRDefault="00000000">
            <w:pPr>
              <w:pStyle w:val="Compact"/>
            </w:pPr>
            <w:r>
              <w:t>Media-alta</w:t>
            </w:r>
          </w:p>
        </w:tc>
        <w:tc>
          <w:tcPr>
            <w:tcW w:w="0" w:type="auto"/>
          </w:tcPr>
          <w:p w14:paraId="454F5DE3" w14:textId="77777777" w:rsidR="00085C05" w:rsidRDefault="00000000">
            <w:pPr>
              <w:pStyle w:val="Compact"/>
            </w:pPr>
            <w:r>
              <w:t xml:space="preserve">Patrón: ~750 búsquedas/mes de “Vellum for PC” </w:t>
            </w:r>
            <w:r>
              <w:rPr>
                <w:vertAlign w:val="superscript"/>
              </w:rPr>
              <w:footnoteReference w:id="107"/>
            </w:r>
            <w:r>
              <w:t xml:space="preserve">; autores pagan MacInCloud $20-40/mes solo para correr Vellum </w:t>
            </w:r>
            <w:r>
              <w:rPr>
                <w:vertAlign w:val="superscript"/>
              </w:rPr>
              <w:footnoteReference w:id="108"/>
            </w:r>
            <w:r>
              <w:t xml:space="preserve"> </w:t>
            </w:r>
            <w:r>
              <w:rPr>
                <w:vertAlign w:val="superscript"/>
              </w:rPr>
              <w:footnoteReference w:id="109"/>
            </w:r>
          </w:p>
        </w:tc>
        <w:tc>
          <w:tcPr>
            <w:tcW w:w="0" w:type="auto"/>
          </w:tcPr>
          <w:p w14:paraId="10D1A103" w14:textId="77777777" w:rsidR="00085C05" w:rsidRDefault="00000000">
            <w:pPr>
              <w:pStyle w:val="Compact"/>
            </w:pPr>
            <w:r>
              <w:t xml:space="preserve">Compra de un Mac o alquiler mensual como proxy extremo de WTP </w:t>
            </w:r>
            <w:r>
              <w:fldChar w:fldCharType="begin"/>
            </w:r>
            <w:r>
              <w:instrText>NOTEREF _Ref_Footnote_108 \h \f</w:instrText>
            </w:r>
            <w:r>
              <w:fldChar w:fldCharType="separate"/>
            </w:r>
            <w:r>
              <w:rPr>
                <w:vertAlign w:val="superscript"/>
              </w:rPr>
              <w:t>108</w:t>
            </w:r>
            <w:r>
              <w:fldChar w:fldCharType="end"/>
            </w:r>
            <w:r>
              <w:t xml:space="preserve"> </w:t>
            </w:r>
            <w:r>
              <w:fldChar w:fldCharType="begin"/>
            </w:r>
            <w:r>
              <w:instrText>NOTEREF _Ref_Footnote_109 \h \f</w:instrText>
            </w:r>
            <w:r>
              <w:fldChar w:fldCharType="separate"/>
            </w:r>
            <w:r>
              <w:rPr>
                <w:vertAlign w:val="superscript"/>
              </w:rPr>
              <w:t>109</w:t>
            </w:r>
            <w:r>
              <w:fldChar w:fldCharType="end"/>
            </w:r>
          </w:p>
        </w:tc>
      </w:tr>
    </w:tbl>
    <w:p w14:paraId="7D0CC04C" w14:textId="77777777" w:rsidR="00085C05" w:rsidRDefault="00000000">
      <w:pPr>
        <w:pStyle w:val="BodyText"/>
      </w:pPr>
      <w:r>
        <w:t xml:space="preserve">La lectura estratégica es triple. Primero, los dolores 1, 2 y 3 son manifestaciones del mismo fallo arquitectónico: herramientas que tratan la composición como un estado final y no como una función del contenido, de modo que el dolor reaparece con cada cambio de texto. Segundo, el dolor 3 es el outlier decisivo: concentra el lenguaje más emocional (“it killed me”, erratas abandonadas, contenido que “se mueve de sitio”) y es el peor cubierto por la oferta actual, que recompone bien pero no garantiza integridad referencial tras cambios estructurales ni cierra el ciclo con el corrector </w:t>
      </w:r>
      <w:r>
        <w:fldChar w:fldCharType="begin"/>
      </w:r>
      <w:r>
        <w:instrText>NOTEREF _Ref_Footnote_99 \h \f</w:instrText>
      </w:r>
      <w:r>
        <w:fldChar w:fldCharType="separate"/>
      </w:r>
      <w:r>
        <w:rPr>
          <w:vertAlign w:val="superscript"/>
        </w:rPr>
        <w:t>99</w:t>
      </w:r>
      <w:r>
        <w:fldChar w:fldCharType="end"/>
      </w:r>
      <w:r>
        <w:t xml:space="preserve"> </w:t>
      </w:r>
      <w:r>
        <w:fldChar w:fldCharType="begin"/>
      </w:r>
      <w:r>
        <w:instrText>NOTEREF _Ref_Footnote_100 \h \f</w:instrText>
      </w:r>
      <w:r>
        <w:fldChar w:fldCharType="separate"/>
      </w:r>
      <w:r>
        <w:rPr>
          <w:vertAlign w:val="superscript"/>
        </w:rPr>
        <w:t>100</w:t>
      </w:r>
      <w:r>
        <w:fldChar w:fldCharType="end"/>
      </w:r>
      <w:r>
        <w:t>. Tercero, cada dolor tiene un precio ya pagado —de $12,99 por arreglar un EPUB a $1.275 por libro—, lo que convierte el ranking en una curva de demanda implícita: Anclora no necesita educar al mercado sobre el problema, solo demostrar que lo elimina estructuralmente.</w:t>
      </w:r>
    </w:p>
    <w:p w14:paraId="6D3A1F17" w14:textId="77777777" w:rsidR="00085C05" w:rsidRDefault="00000000">
      <w:pPr>
        <w:pStyle w:val="Heading4"/>
      </w:pPr>
      <w:bookmarkStart w:id="130" w:name="Xbf01d17e65fd11dbca133cbab778d88b49684ce"/>
      <w:bookmarkEnd w:id="115"/>
      <w:r>
        <w:lastRenderedPageBreak/>
        <w:t>3.1.2 Willingness to pay probado: el mercado ya paga, y caro, por qué este dolor desaparezca</w:t>
      </w:r>
    </w:p>
    <w:p w14:paraId="69C79C61" w14:textId="77777777" w:rsidR="00085C05" w:rsidRDefault="00000000">
      <w:pPr>
        <w:pStyle w:val="FirstParagraph"/>
      </w:pPr>
      <w:r>
        <w:t xml:space="preserve">La disposición a pagar no es una hipótesis: es comportamiento observado. El 50% de los proyectos de maquetación de interiores en Reedsy cuesta $475-1.275 (media ~$800 por libro), y los servicios de tarifa fija van de £69 a más de $500 con esperas de semanas por ronda de revisión </w:t>
      </w:r>
      <w:r>
        <w:fldChar w:fldCharType="begin"/>
      </w:r>
      <w:r>
        <w:instrText>NOTEREF _Ref_Footnote_6 \h \f</w:instrText>
      </w:r>
      <w:r>
        <w:fldChar w:fldCharType="separate"/>
      </w:r>
      <w:r>
        <w:t>6</w:t>
      </w:r>
      <w:r>
        <w:fldChar w:fldCharType="end"/>
      </w:r>
      <w:r>
        <w:t xml:space="preserve"> </w:t>
      </w:r>
      <w:r>
        <w:fldChar w:fldCharType="begin"/>
      </w:r>
      <w:r>
        <w:instrText>NOTEREF _Ref_Footnote_7 \h \f</w:instrText>
      </w:r>
      <w:r>
        <w:fldChar w:fldCharType="separate"/>
      </w:r>
      <w:r>
        <w:t>7</w:t>
      </w:r>
      <w:r>
        <w:fldChar w:fldCharType="end"/>
      </w:r>
      <w:r>
        <w:t xml:space="preserve"> </w:t>
      </w:r>
      <w:r>
        <w:fldChar w:fldCharType="begin"/>
      </w:r>
      <w:r>
        <w:instrText>NOTEREF _Ref_Footnote_97 \h \f</w:instrText>
      </w:r>
      <w:r>
        <w:fldChar w:fldCharType="separate"/>
      </w:r>
      <w:r>
        <w:rPr>
          <w:vertAlign w:val="superscript"/>
        </w:rPr>
        <w:t>97</w:t>
      </w:r>
      <w:r>
        <w:fldChar w:fldCharType="end"/>
      </w:r>
      <w:r>
        <w:t xml:space="preserve">. La señal más extrema es de hardware: autores de Windows llegaron a comprar un Mac o a pagar MacInCloud ($20-40/mes, con lag y transferencia manual de archivos) solo para ejecutar Vellum, workaround que la propia ayuda oficial de Vellum documenta </w:t>
      </w:r>
      <w:r>
        <w:fldChar w:fldCharType="begin"/>
      </w:r>
      <w:r>
        <w:instrText>NOTEREF _Ref_Footnote_108 \h \f</w:instrText>
      </w:r>
      <w:r>
        <w:fldChar w:fldCharType="separate"/>
      </w:r>
      <w:r>
        <w:rPr>
          <w:vertAlign w:val="superscript"/>
        </w:rPr>
        <w:t>108</w:t>
      </w:r>
      <w:r>
        <w:fldChar w:fldCharType="end"/>
      </w:r>
      <w:r>
        <w:t xml:space="preserve"> </w:t>
      </w:r>
      <w:r>
        <w:fldChar w:fldCharType="begin"/>
      </w:r>
      <w:r>
        <w:instrText>NOTEREF _Ref_Footnote_109 \h \f</w:instrText>
      </w:r>
      <w:r>
        <w:fldChar w:fldCharType="separate"/>
      </w:r>
      <w:r>
        <w:rPr>
          <w:vertAlign w:val="superscript"/>
        </w:rPr>
        <w:t>109</w:t>
      </w:r>
      <w:r>
        <w:fldChar w:fldCharType="end"/>
      </w:r>
      <w:r>
        <w:t xml:space="preserve"> </w:t>
      </w:r>
      <w:r>
        <w:fldChar w:fldCharType="begin"/>
      </w:r>
      <w:r>
        <w:instrText>NOTEREF _Ref_Footnote_107 \h \f</w:instrText>
      </w:r>
      <w:r>
        <w:fldChar w:fldCharType="separate"/>
      </w:r>
      <w:r>
        <w:rPr>
          <w:vertAlign w:val="superscript"/>
        </w:rPr>
        <w:t>107</w:t>
      </w:r>
      <w:r>
        <w:fldChar w:fldCharType="end"/>
      </w:r>
      <w:r>
        <w:t xml:space="preserve">. Y el mercado castiga la opción barata con la do-over tax documentada por Reedsy: autores que pagan $50 a un formateador de Fiverr terminan pagando $1.500 para arreglar el desastre —30 veces el precio inicial cuando el dolor persiste </w:t>
      </w:r>
      <w:r>
        <w:fldChar w:fldCharType="begin"/>
      </w:r>
      <w:r>
        <w:instrText>NOTEREF _Ref_Footnote_7 \h \f</w:instrText>
      </w:r>
      <w:r>
        <w:fldChar w:fldCharType="separate"/>
      </w:r>
      <w:r>
        <w:t>7</w:t>
      </w:r>
      <w:r>
        <w:fldChar w:fldCharType="end"/>
      </w:r>
      <w:r>
        <w:t>.</w:t>
      </w:r>
    </w:p>
    <w:p w14:paraId="29C72C27" w14:textId="77777777" w:rsidR="00085C05" w:rsidRDefault="00000000">
      <w:pPr>
        <w:pStyle w:val="BodyText"/>
      </w:pPr>
      <w:r>
        <w:t xml:space="preserve">El matiz que define el negocio es qué se paga exactamente: no “hacer el PDF bonito” una vez, sino no repetir el trabajo ni esperar a un humano cada vez que el texto cambia </w:t>
      </w:r>
      <w:r>
        <w:fldChar w:fldCharType="begin"/>
      </w:r>
      <w:r>
        <w:instrText>NOTEREF _Ref_Footnote_99 \h \f</w:instrText>
      </w:r>
      <w:r>
        <w:fldChar w:fldCharType="separate"/>
      </w:r>
      <w:r>
        <w:rPr>
          <w:vertAlign w:val="superscript"/>
        </w:rPr>
        <w:t>99</w:t>
      </w:r>
      <w:r>
        <w:fldChar w:fldCharType="end"/>
      </w:r>
      <w:r>
        <w:t xml:space="preserve"> </w:t>
      </w:r>
      <w:r>
        <w:fldChar w:fldCharType="begin"/>
      </w:r>
      <w:r>
        <w:instrText>NOTEREF _Ref_Footnote_97 \h \f</w:instrText>
      </w:r>
      <w:r>
        <w:fldChar w:fldCharType="separate"/>
      </w:r>
      <w:r>
        <w:rPr>
          <w:vertAlign w:val="superscript"/>
        </w:rPr>
        <w:t>97</w:t>
      </w:r>
      <w:r>
        <w:fldChar w:fldCharType="end"/>
      </w:r>
      <w:r>
        <w:t>. Un motor que recompone al instante con índice, paginación y referencias coherentes convierte un coste recurrente y emocionalmente tóxico en un no-evento, y eso sostiene pricing recurrente con ROI trivial de demostrar contra el status quo de $800/libro.</w:t>
      </w:r>
    </w:p>
    <w:p w14:paraId="58F591C2" w14:textId="77777777" w:rsidR="00085C05" w:rsidRDefault="00000000">
      <w:pPr>
        <w:pStyle w:val="Heading3"/>
      </w:pPr>
      <w:bookmarkStart w:id="131" w:name="X192814796e23036a8527bdf562e71f38e45ca81"/>
      <w:bookmarkEnd w:id="114"/>
      <w:bookmarkEnd w:id="130"/>
      <w:r>
        <w:t>3.2 El round-trip roto: el diferenciador más defendible</w:t>
      </w:r>
    </w:p>
    <w:p w14:paraId="5FE5A527" w14:textId="77777777" w:rsidR="00085C05" w:rsidRDefault="00000000">
      <w:pPr>
        <w:pStyle w:val="Heading4"/>
      </w:pPr>
      <w:bookmarkStart w:id="132" w:name="X7f8ced3b6e7ea4e48af15e532392c1f0bd3c2a2"/>
      <w:r>
        <w:t>3.2.1 Importación one-way: el ciclo manuscrito→maquetado→correcciones→re-maquetado sigue abierto en 2026</w:t>
      </w:r>
    </w:p>
    <w:p w14:paraId="07FDB5AB" w14:textId="77777777" w:rsidR="00085C05" w:rsidRDefault="00000000">
      <w:pPr>
        <w:pStyle w:val="FirstParagraph"/>
      </w:pPr>
      <w:r>
        <w:t xml:space="preserve">Vellum y Atticus resolvieron la recomposición, pero solo en una dirección: la importación es one-way y el documento queda atrapado dentro de la herramienta </w:t>
      </w:r>
      <w:r>
        <w:fldChar w:fldCharType="begin"/>
      </w:r>
      <w:r>
        <w:instrText>NOTEREF _Ref_Footnote_99 \h \f</w:instrText>
      </w:r>
      <w:r>
        <w:fldChar w:fldCharType="separate"/>
      </w:r>
      <w:r>
        <w:rPr>
          <w:vertAlign w:val="superscript"/>
        </w:rPr>
        <w:t>99</w:t>
      </w:r>
      <w:r>
        <w:fldChar w:fldCharType="end"/>
      </w:r>
      <w:r>
        <w:t xml:space="preserve">. Cuando el corrector trabaja sobre el Word original —que es como trabajan los correctores—, el autor debe reintegrar los cambios a mano o reimportar y perder la estructuración: “it killed me having to export my Google Doc to Word to send to my editor, then try and integrate the changes back… to import into Vellum and Atticus” </w:t>
      </w:r>
      <w:r>
        <w:fldChar w:fldCharType="begin"/>
      </w:r>
      <w:r>
        <w:instrText>NOTEREF _Ref_Footnote_99 \h \f</w:instrText>
      </w:r>
      <w:r>
        <w:fldChar w:fldCharType="separate"/>
      </w:r>
      <w:r>
        <w:rPr>
          <w:vertAlign w:val="superscript"/>
        </w:rPr>
        <w:t>99</w:t>
      </w:r>
      <w:r>
        <w:fldChar w:fldCharType="end"/>
      </w:r>
      <w:r>
        <w:t xml:space="preserve">. Atticus incluso desaconseja pegar texto corregido de vuelta desde Grammarly </w:t>
      </w:r>
      <w:r>
        <w:fldChar w:fldCharType="begin"/>
      </w:r>
      <w:r>
        <w:instrText>NOTEREF _Ref_Footnote_102 \h \f</w:instrText>
      </w:r>
      <w:r>
        <w:fldChar w:fldCharType="separate"/>
      </w:r>
      <w:r>
        <w:rPr>
          <w:vertAlign w:val="superscript"/>
        </w:rPr>
        <w:t>102</w:t>
      </w:r>
      <w:r>
        <w:fldChar w:fldCharType="end"/>
      </w:r>
      <w:r>
        <w:t xml:space="preserve">, y la petición “load/sync from a Google Doc” lleva años en foros sin respuesta </w:t>
      </w:r>
      <w:r>
        <w:fldChar w:fldCharType="begin"/>
      </w:r>
      <w:r>
        <w:instrText>NOTEREF _Ref_Footnote_99 \h \f</w:instrText>
      </w:r>
      <w:r>
        <w:fldChar w:fldCharType="separate"/>
      </w:r>
      <w:r>
        <w:rPr>
          <w:vertAlign w:val="superscript"/>
        </w:rPr>
        <w:t>99</w:t>
      </w:r>
      <w:r>
        <w:fldChar w:fldCharType="end"/>
      </w:r>
      <w:r>
        <w:t xml:space="preserve">. A ello se suma la corrupción silenciosa: en Atticus, renombrar o mover capítulos rompe los enlaces internos sin aviso, y KDP traga el EPUB roto mientras IngramSpark lo rechaza </w:t>
      </w:r>
      <w:r>
        <w:fldChar w:fldCharType="begin"/>
      </w:r>
      <w:r>
        <w:instrText>NOTEREF _Ref_Footnote_99 \h \f</w:instrText>
      </w:r>
      <w:r>
        <w:fldChar w:fldCharType="separate"/>
      </w:r>
      <w:r>
        <w:rPr>
          <w:vertAlign w:val="superscript"/>
        </w:rPr>
        <w:t>99</w:t>
      </w:r>
      <w:r>
        <w:fldChar w:fldCharType="end"/>
      </w:r>
      <w:r>
        <w:t xml:space="preserve"> —el caso del fundador, versión 2025. Post-publicación la fricción continúa: revisión de KDP de hasta 72 horas, compradores anteriores que no reciben la actualización salvo error crítico y, en papel, cualquier repaginación obliga a rehacer el lomo de la cubierta </w:t>
      </w:r>
      <w:r>
        <w:rPr>
          <w:vertAlign w:val="superscript"/>
        </w:rPr>
        <w:footnoteReference w:id="110"/>
      </w:r>
      <w:r>
        <w:t xml:space="preserve"> </w:t>
      </w:r>
      <w:r>
        <w:rPr>
          <w:vertAlign w:val="superscript"/>
        </w:rPr>
        <w:footnoteReference w:id="111"/>
      </w:r>
      <w:r>
        <w:t xml:space="preserve"> </w:t>
      </w:r>
      <w:r>
        <w:fldChar w:fldCharType="begin"/>
      </w:r>
      <w:r>
        <w:instrText>NOTEREF _Ref_Footnote_19 \h \f</w:instrText>
      </w:r>
      <w:r>
        <w:fldChar w:fldCharType="separate"/>
      </w:r>
      <w:r>
        <w:rPr>
          <w:vertAlign w:val="superscript"/>
        </w:rPr>
        <w:t>19</w:t>
      </w:r>
      <w:r>
        <w:fldChar w:fldCharType="end"/>
      </w:r>
      <w:r>
        <w:t>.</w:t>
      </w:r>
    </w:p>
    <w:p w14:paraId="2B2F1533" w14:textId="77777777" w:rsidR="00085C05" w:rsidRDefault="00000000">
      <w:pPr>
        <w:pStyle w:val="Heading4"/>
      </w:pPr>
      <w:bookmarkStart w:id="135" w:name="Xcc4c0c589920596c280a714d993c030004d287a"/>
      <w:bookmarkEnd w:id="132"/>
      <w:r>
        <w:lastRenderedPageBreak/>
        <w:t>3.2.2 Anclora ya tiene la respuesta en código — y debe convertirla en feature insignia</w:t>
      </w:r>
    </w:p>
    <w:p w14:paraId="484D0238" w14:textId="77777777" w:rsidR="00085C05" w:rsidRDefault="00000000">
      <w:pPr>
        <w:pStyle w:val="FirstParagraph"/>
      </w:pPr>
      <w:r>
        <w:t xml:space="preserve">Aquí está la asimetría más valiosa del plan: lo que el mercado pide y nadie entrega ya está implementado. El repositorio de Anclora incluye importación premium DOCX (detección de título, jerarquía editorial, índice sintético editable), reimportación DOCX con merge estructural idempotente —matching por anclas de título, diff visible, diálogo </w:t>
      </w:r>
      <w:r>
        <w:rPr>
          <w:rStyle w:val="VerbatimChar"/>
        </w:rPr>
        <w:t>ReimportDialog</w:t>
      </w:r>
      <w:r>
        <w:t xml:space="preserve">— y un </w:t>
      </w:r>
      <w:r>
        <w:rPr>
          <w:rStyle w:val="VerbatimChar"/>
        </w:rPr>
        <w:t>DocumentHealthPanel</w:t>
      </w:r>
      <w:r>
        <w:t xml:space="preserve"> con contador de violaciones, diff antes/después y export gate configurable (off/warn/block) </w:t>
      </w:r>
      <w:r>
        <w:fldChar w:fldCharType="begin"/>
      </w:r>
      <w:r>
        <w:instrText>NOTEREF _Ref_Footnote_1 \h \f</w:instrText>
      </w:r>
      <w:r>
        <w:fldChar w:fldCharType="separate"/>
      </w:r>
      <w:r>
        <w:t>1</w:t>
      </w:r>
      <w:r>
        <w:fldChar w:fldCharType="end"/>
      </w:r>
      <w:r>
        <w:t>. Anclora puede recibir el Word corregido, fusionarlo sin perder el maquetado, mostrar qué cambió y bloquear la exportación si la integridad se rompe. Ningún competidor del benchmark hace nada comparable.</w:t>
      </w:r>
    </w:p>
    <w:p w14:paraId="4D5AFD21" w14:textId="77777777" w:rsidR="00085C05" w:rsidRDefault="00000000">
      <w:pPr>
        <w:pStyle w:val="BodyText"/>
      </w:pPr>
      <w:r>
        <w:t xml:space="preserve">La decisión pendiente es narrativa, no técnica: “reimportación con diff” no vende; “flujo de revisiones infinitas” o “nunca más rehagas el libro por un párrafo” ataca directamente el do-over tax de 30× y las semanas de espera por ronda </w:t>
      </w:r>
      <w:r>
        <w:fldChar w:fldCharType="begin"/>
      </w:r>
      <w:r>
        <w:instrText>NOTEREF _Ref_Footnote_7 \h \f</w:instrText>
      </w:r>
      <w:r>
        <w:fldChar w:fldCharType="separate"/>
      </w:r>
      <w:r>
        <w:t>7</w:t>
      </w:r>
      <w:r>
        <w:fldChar w:fldCharType="end"/>
      </w:r>
      <w:r>
        <w:t xml:space="preserve"> </w:t>
      </w:r>
      <w:r>
        <w:fldChar w:fldCharType="begin"/>
      </w:r>
      <w:r>
        <w:instrText>NOTEREF _Ref_Footnote_97 \h \f</w:instrText>
      </w:r>
      <w:r>
        <w:fldChar w:fldCharType="separate"/>
      </w:r>
      <w:r>
        <w:rPr>
          <w:vertAlign w:val="superscript"/>
        </w:rPr>
        <w:t>97</w:t>
      </w:r>
      <w:r>
        <w:fldChar w:fldCharType="end"/>
      </w:r>
      <w:r>
        <w:t xml:space="preserve">. Debe elevarse a feature insignia y extenderse (sync con Google Docs/Word, historial de versiones —petición explícita sin entregar en el roadmap de Atticus </w:t>
      </w:r>
      <w:r>
        <w:rPr>
          <w:vertAlign w:val="superscript"/>
        </w:rPr>
        <w:footnoteReference w:id="112"/>
      </w:r>
      <w:r>
        <w:t>), porque es el foso más difícil de copiar: exige un modelo semántico del documento, no un editor con plantillas.</w:t>
      </w:r>
    </w:p>
    <w:p w14:paraId="36ADAC36" w14:textId="77777777" w:rsidR="00085C05" w:rsidRDefault="00000000">
      <w:pPr>
        <w:pStyle w:val="Heading3"/>
      </w:pPr>
      <w:bookmarkStart w:id="137" w:name="Xc78c888cb94cb925d4c27f5debda31eb15355d1"/>
      <w:bookmarkEnd w:id="131"/>
      <w:bookmarkEnd w:id="135"/>
      <w:r>
        <w:t>3.3 IA sí, pero gobernada: asistente editorial, nunca ghostwriter</w:t>
      </w:r>
    </w:p>
    <w:p w14:paraId="3FB4698F" w14:textId="77777777" w:rsidR="00085C05" w:rsidRDefault="00000000">
      <w:pPr>
        <w:pStyle w:val="Heading4"/>
      </w:pPr>
      <w:bookmarkStart w:id="138" w:name="X342445b962fb5821fadbe850aca5966bfeed97d"/>
      <w:r>
        <w:t>3.3.1 Adopción masiva con tensión ética: el mercado delega producción, no autoría</w:t>
      </w:r>
    </w:p>
    <w:p w14:paraId="074279E8" w14:textId="77777777" w:rsidR="00085C05" w:rsidRDefault="00000000">
      <w:pPr>
        <w:pStyle w:val="FirstParagraph"/>
      </w:pPr>
      <w:r>
        <w:t xml:space="preserve">La IA ya está dentro del estudio del autor, pero con una frontera de uso nítida. La encuesta BookBub (1.229 autores, 2025): el 45% usa IA generativa, para investigación (81%), marketing (~73%) y outlining/plotting (72%) —no para entregar el texto final </w:t>
      </w:r>
      <w:r>
        <w:fldChar w:fldCharType="begin"/>
      </w:r>
      <w:r>
        <w:instrText>NOTEREF _Ref_Footnote_13 \h \f</w:instrText>
      </w:r>
      <w:r>
        <w:fldChar w:fldCharType="separate"/>
      </w:r>
      <w:r>
        <w:rPr>
          <w:vertAlign w:val="superscript"/>
        </w:rPr>
        <w:t>13</w:t>
      </w:r>
      <w:r>
        <w:fldChar w:fldCharType="end"/>
      </w:r>
      <w:r>
        <w:t xml:space="preserve"> </w:t>
      </w:r>
      <w:r>
        <w:rPr>
          <w:vertAlign w:val="superscript"/>
        </w:rPr>
        <w:footnoteReference w:id="113"/>
      </w:r>
      <w:r>
        <w:t xml:space="preserve">. Gotham Ghostwriters/Bernoff (1.481 escritores, 2025) lo confirma: 61% usa IA, pero solo el 7% ha publicado texto generado; el 63% genera y edita intensamente </w:t>
      </w:r>
      <w:r>
        <w:rPr>
          <w:vertAlign w:val="superscript"/>
        </w:rPr>
        <w:footnoteReference w:id="114"/>
      </w:r>
      <w:r>
        <w:t xml:space="preserve">. La tensión es ética, no de calidad: el 84% de los no-usuarios rechaza por ética y el 74% de los usuarios no declara su uso a lectores </w:t>
      </w:r>
      <w:r>
        <w:fldChar w:fldCharType="begin"/>
      </w:r>
      <w:r>
        <w:instrText>NOTEREF _Ref_Footnote_13 \h \f</w:instrText>
      </w:r>
      <w:r>
        <w:fldChar w:fldCharType="separate"/>
      </w:r>
      <w:r>
        <w:rPr>
          <w:vertAlign w:val="superscript"/>
        </w:rPr>
        <w:t>13</w:t>
      </w:r>
      <w:r>
        <w:fldChar w:fldCharType="end"/>
      </w:r>
      <w:r>
        <w:t xml:space="preserve"> </w:t>
      </w:r>
      <w:r>
        <w:rPr>
          <w:vertAlign w:val="superscript"/>
        </w:rPr>
        <w:footnoteReference w:id="115"/>
      </w:r>
      <w:r>
        <w:t>. La comunidad normaliza la IA “asistente de producción” y castiga la IA “escritora”.</w:t>
      </w:r>
    </w:p>
    <w:p w14:paraId="1C4B5C6D" w14:textId="77777777" w:rsidR="00085C05" w:rsidRDefault="00000000">
      <w:pPr>
        <w:pStyle w:val="BodyText"/>
      </w:pPr>
      <w:r>
        <w:t>La decisión de posicionamiento tiene dinero detrás: la IA de Anclora debe ser asistente editorial —salud del documento, detección de inconsistencias, accesibilidad, metadatos, blurbs— y nunca generador de contenido. Ese encuadre captura al 45% que ya delega producción sin alienar al 84% de detractores éticos, y evita la guerra de generación de texto, ya comoditizada.</w:t>
      </w:r>
    </w:p>
    <w:p w14:paraId="12257C58" w14:textId="77777777" w:rsidR="00085C05" w:rsidRDefault="00000000">
      <w:pPr>
        <w:pStyle w:val="Heading4"/>
      </w:pPr>
      <w:bookmarkStart w:id="142" w:name="Xab2cffa9169cec8ff69b5b7ec16fcf5ddad34c8"/>
      <w:bookmarkEnd w:id="138"/>
      <w:r>
        <w:lastRenderedPageBreak/>
        <w:t>3.3.2 KDP exige disclosure con enforcement endurecido: la trazabilidad es feature vendible, no compliance</w:t>
      </w:r>
    </w:p>
    <w:p w14:paraId="431FFF08" w14:textId="77777777" w:rsidR="00085C05" w:rsidRDefault="00000000">
      <w:pPr>
        <w:pStyle w:val="FirstParagraph"/>
      </w:pPr>
      <w:r>
        <w:t xml:space="preserve">KDP obliga desde septiembre de 2023 —con endurecimiento en 2025-2026— a declarar el contenido IA-generado (texto, imágenes, traducciones automáticas); el contenido IA-asistido queda exento </w:t>
      </w:r>
      <w:r>
        <w:rPr>
          <w:vertAlign w:val="superscript"/>
        </w:rPr>
        <w:footnoteReference w:id="116"/>
      </w:r>
      <w:r>
        <w:t xml:space="preserve"> </w:t>
      </w:r>
      <w:r>
        <w:fldChar w:fldCharType="begin"/>
      </w:r>
      <w:r>
        <w:instrText>NOTEREF _Ref_Footnote_79 \h \f</w:instrText>
      </w:r>
      <w:r>
        <w:fldChar w:fldCharType="separate"/>
      </w:r>
      <w:r>
        <w:rPr>
          <w:vertAlign w:val="superscript"/>
        </w:rPr>
        <w:t>79</w:t>
      </w:r>
      <w:r>
        <w:fldChar w:fldCharType="end"/>
      </w:r>
      <w:r>
        <w:t xml:space="preserve">. La declaración es interna y no afecta a ranking ni regalías, pero omitirla puede retirar el título y suspender la cuenta en reincidencia; cada edición posterior vuelve a disparar el flujo de declaración y Amazon revisa retroactivamente catálogos </w:t>
      </w:r>
      <w:r>
        <w:fldChar w:fldCharType="begin"/>
      </w:r>
      <w:r>
        <w:instrText>NOTEREF _Ref_Footnote_79 \h \f</w:instrText>
      </w:r>
      <w:r>
        <w:fldChar w:fldCharType="separate"/>
      </w:r>
      <w:r>
        <w:rPr>
          <w:vertAlign w:val="superscript"/>
        </w:rPr>
        <w:t>79</w:t>
      </w:r>
      <w:r>
        <w:fldChar w:fldCharType="end"/>
      </w:r>
      <w:r>
        <w:t xml:space="preserve"> </w:t>
      </w:r>
      <w:r>
        <w:rPr>
          <w:vertAlign w:val="superscript"/>
        </w:rPr>
        <w:footnoteReference w:id="117"/>
      </w:r>
      <w:r>
        <w:t>. Para un autor que usa IA en fragmentos y edita a menudo —exactamente el flujo de §3.2— saber qué declarar en cada versión es una carga operativa real que nadie resuelve.</w:t>
      </w:r>
    </w:p>
    <w:p w14:paraId="3D879F30" w14:textId="77777777" w:rsidR="00085C05" w:rsidRDefault="00000000">
      <w:pPr>
        <w:pStyle w:val="BodyText"/>
      </w:pPr>
      <w:r>
        <w:t xml:space="preserve">Anclora puede convertirla en ventaja: si el motor registra qué fragmentos son IA-generados frente a humanos —un changeset sobre el árbol semántico, ya previsto como “registro de decisiones IA” en el plan original </w:t>
      </w:r>
      <w:r>
        <w:fldChar w:fldCharType="begin"/>
      </w:r>
      <w:r>
        <w:instrText>NOTEREF _Ref_Footnote_2 \h \f</w:instrText>
      </w:r>
      <w:r>
        <w:fldChar w:fldCharType="separate"/>
      </w:r>
      <w:r>
        <w:t>2</w:t>
      </w:r>
      <w:r>
        <w:fldChar w:fldCharType="end"/>
      </w:r>
      <w:r>
        <w:t xml:space="preserve">—, el disclosure de KDP se genera automáticamente en cada exportación. Ninguna herramienta del benchmark ofrece trazabilidad IA; en un mercado donde el 74% no declara y el enforcement se endurece </w:t>
      </w:r>
      <w:r>
        <w:fldChar w:fldCharType="begin"/>
      </w:r>
      <w:r>
        <w:instrText>NOTEREF _Ref_Footnote_113 \h \f</w:instrText>
      </w:r>
      <w:r>
        <w:fldChar w:fldCharType="separate"/>
      </w:r>
      <w:r>
        <w:rPr>
          <w:vertAlign w:val="superscript"/>
        </w:rPr>
        <w:t>113</w:t>
      </w:r>
      <w:r>
        <w:fldChar w:fldCharType="end"/>
      </w:r>
      <w:r>
        <w:t>, la gobernanza deja de ser coste de cumplimiento y pasa a ser argumento de compra para el autor que no puede arriesgar su cuenta.</w:t>
      </w:r>
    </w:p>
    <w:p w14:paraId="16F2C0A4" w14:textId="77777777" w:rsidR="00085C05" w:rsidRDefault="00000000">
      <w:pPr>
        <w:pStyle w:val="Heading3"/>
      </w:pPr>
      <w:bookmarkStart w:id="145" w:name="X7db770bbb58767fc306afd0e3adff8da3d7eb2e"/>
      <w:bookmarkEnd w:id="137"/>
      <w:bookmarkEnd w:id="142"/>
      <w:r>
        <w:t>3.4 El segmento de desembarco: mercado hispanohablante sin líder</w:t>
      </w:r>
    </w:p>
    <w:p w14:paraId="79D52300" w14:textId="77777777" w:rsidR="00085C05" w:rsidRDefault="00000000">
      <w:pPr>
        <w:pStyle w:val="Heading4"/>
      </w:pPr>
      <w:bookmarkStart w:id="146" w:name="Xd07d6ff9ac25c60e78f79881237294a6b5abc15"/>
      <w:r>
        <w:t>3.4.1 Una playa grande, en crecimiento y desatendida</w:t>
      </w:r>
    </w:p>
    <w:p w14:paraId="00ACA586" w14:textId="77777777" w:rsidR="00085C05" w:rsidRDefault="00000000">
      <w:pPr>
        <w:pStyle w:val="FirstParagraph"/>
      </w:pPr>
      <w:r>
        <w:t xml:space="preserve">El español reúne las tres condiciones de un beachhead ideal. Tamaño: más de 600 millones de hablantes, segunda lengua materna del mundo, con EE. UU. como segundo país hispanohablante </w:t>
      </w:r>
      <w:r>
        <w:fldChar w:fldCharType="begin"/>
      </w:r>
      <w:r>
        <w:instrText>NOTEREF _Ref_Footnote_10 \h \f</w:instrText>
      </w:r>
      <w:r>
        <w:fldChar w:fldCharType="separate"/>
      </w:r>
      <w:r>
        <w:rPr>
          <w:vertAlign w:val="superscript"/>
        </w:rPr>
        <w:t>10</w:t>
      </w:r>
      <w:r>
        <w:fldChar w:fldCharType="end"/>
      </w:r>
      <w:r>
        <w:t xml:space="preserve"> </w:t>
      </w:r>
      <w:r>
        <w:rPr>
          <w:vertAlign w:val="superscript"/>
        </w:rPr>
        <w:footnoteReference w:id="118"/>
      </w:r>
      <w:r>
        <w:t xml:space="preserve">. Crecimiento: el ebook en español creció +10,4% en ingresos en 2024 (España y EE. UU. +13%, México +12%) y el libro digital en España +14,9% —2-3 veces el ritmo del ebook anglosajón de consumo (1-3%/año) </w:t>
      </w:r>
      <w:r>
        <w:rPr>
          <w:vertAlign w:val="superscript"/>
        </w:rPr>
        <w:footnoteReference w:id="119"/>
      </w:r>
      <w:r>
        <w:t xml:space="preserve"> </w:t>
      </w:r>
      <w:r>
        <w:rPr>
          <w:vertAlign w:val="superscript"/>
        </w:rPr>
        <w:footnoteReference w:id="120"/>
      </w:r>
      <w:r>
        <w:t xml:space="preserve"> </w:t>
      </w:r>
      <w:r>
        <w:rPr>
          <w:vertAlign w:val="superscript"/>
        </w:rPr>
        <w:footnoteReference w:id="121"/>
      </w:r>
      <w:r>
        <w:t xml:space="preserve">. Demanda de infoproducto: Hotmart mueve un run-rate superior a $1.200M/año con 500.000+ productos digitales y +40% de creadores nuevos en 2024 </w:t>
      </w:r>
      <w:r>
        <w:fldChar w:fldCharType="begin"/>
      </w:r>
      <w:r>
        <w:instrText>NOTEREF _Ref_Footnote_9 \h \f</w:instrText>
      </w:r>
      <w:r>
        <w:fldChar w:fldCharType="separate"/>
      </w:r>
      <w:r>
        <w:t>9</w:t>
      </w:r>
      <w:r>
        <w:fldChar w:fldCharType="end"/>
      </w:r>
      <w:r>
        <w:t xml:space="preserve"> </w:t>
      </w:r>
      <w:r>
        <w:rPr>
          <w:vertAlign w:val="superscript"/>
        </w:rPr>
        <w:footnoteReference w:id="122"/>
      </w:r>
      <w:r>
        <w:t xml:space="preserve">. Y el dolor es idéntico al anglosajón: 81 comentarios peleando con índices Word→Kindle en un solo blog español y una industria artesanal de maquetadores KDP en español vendiendo a </w:t>
      </w:r>
      <w:r>
        <w:lastRenderedPageBreak/>
        <w:t xml:space="preserve">mano lo que Reedsy vende en inglés </w:t>
      </w:r>
      <w:r>
        <w:fldChar w:fldCharType="begin"/>
      </w:r>
      <w:r>
        <w:instrText>NOTEREF _Ref_Footnote_98 \h \f</w:instrText>
      </w:r>
      <w:r>
        <w:fldChar w:fldCharType="separate"/>
      </w:r>
      <w:r>
        <w:rPr>
          <w:vertAlign w:val="superscript"/>
        </w:rPr>
        <w:t>98</w:t>
      </w:r>
      <w:r>
        <w:fldChar w:fldCharType="end"/>
      </w:r>
      <w:r>
        <w:t xml:space="preserve"> </w:t>
      </w:r>
      <w:r>
        <w:rPr>
          <w:vertAlign w:val="superscript"/>
        </w:rPr>
        <w:footnoteReference w:id="123"/>
      </w:r>
      <w:r>
        <w:t xml:space="preserve">. El vacío competitivo es el dato decisivo: no existe un Atticus o Vellum en español —ambas son anglocéntricas— mientras la infraestructura de monetización ya está madura (en KDP España, 25 de los 100 más vendidos cada semana son autopublicados) </w:t>
      </w:r>
      <w:r>
        <w:fldChar w:fldCharType="begin"/>
      </w:r>
      <w:r>
        <w:instrText>NOTEREF _Ref_Footnote_9 \h \f</w:instrText>
      </w:r>
      <w:r>
        <w:fldChar w:fldCharType="separate"/>
      </w:r>
      <w:r>
        <w:t>9</w:t>
      </w:r>
      <w:r>
        <w:fldChar w:fldCharType="end"/>
      </w:r>
      <w:r>
        <w:t xml:space="preserve"> </w:t>
      </w:r>
      <w:r>
        <w:rPr>
          <w:vertAlign w:val="superscript"/>
        </w:rPr>
        <w:footnoteReference w:id="124"/>
      </w:r>
      <w:r>
        <w:t>. En inglés Anclora competiría contra comunidades consolidadas; en español, contra Word y un maquetador freelance.</w:t>
      </w:r>
    </w:p>
    <w:p w14:paraId="7A56B628" w14:textId="77777777" w:rsidR="00085C05" w:rsidRDefault="00000000">
      <w:pPr>
        <w:pStyle w:val="Heading4"/>
      </w:pPr>
      <w:bookmarkStart w:id="154" w:name="X57f6a175f31dc9e5fc18f66336d8a18aaff319c"/>
      <w:bookmarkEnd w:id="146"/>
      <w:r>
        <w:t>3.4.2 Anclora ya es bilingüe ES/EN: playa en español, expansión en inglés</w:t>
      </w:r>
    </w:p>
    <w:p w14:paraId="6B970A60" w14:textId="77777777" w:rsidR="00085C05" w:rsidRDefault="00000000">
      <w:pPr>
        <w:pStyle w:val="FirstParagraph"/>
      </w:pPr>
      <w:r>
        <w:t xml:space="preserve">La estrategia es de secuencia, no de construcción: la internacionalización ES/EN ya es nativa en el código </w:t>
      </w:r>
      <w:r>
        <w:fldChar w:fldCharType="begin"/>
      </w:r>
      <w:r>
        <w:instrText>NOTEREF _Ref_Footnote_1 \h \f</w:instrText>
      </w:r>
      <w:r>
        <w:fldChar w:fldCharType="separate"/>
      </w:r>
      <w:r>
        <w:t>1</w:t>
      </w:r>
      <w:r>
        <w:fldChar w:fldCharType="end"/>
      </w:r>
      <w:r>
        <w:t xml:space="preserve">. Posicionamiento, plantillas y marketing primero en español —menor CAC, dolor verbalizado en el idioma del cliente, sin líder que defender—; el inglés como segunda ola, con casos de éxito y la feature de round-trip madura. Dos cautelas: los precios medios de ebook son bajos (€7,61-9) y la sensibilidad al precio del software es mayor, lo que aconseja pago único o planes asequibles </w:t>
      </w:r>
      <w:r>
        <w:fldChar w:fldCharType="begin"/>
      </w:r>
      <w:r>
        <w:instrText>NOTEREF _Ref_Footnote_119 \h \f</w:instrText>
      </w:r>
      <w:r>
        <w:fldChar w:fldCharType="separate"/>
      </w:r>
      <w:r>
        <w:rPr>
          <w:vertAlign w:val="superscript"/>
        </w:rPr>
        <w:t>119</w:t>
      </w:r>
      <w:r>
        <w:fldChar w:fldCharType="end"/>
      </w:r>
      <w:r>
        <w:t xml:space="preserve">; y la integración con Hotmart/Gumroad importa tanto como exportar a KDP, porque el cliente hispano típico es infoproductor que vende directo </w:t>
      </w:r>
      <w:r>
        <w:fldChar w:fldCharType="begin"/>
      </w:r>
      <w:r>
        <w:instrText>NOTEREF _Ref_Footnote_9 \h \f</w:instrText>
      </w:r>
      <w:r>
        <w:fldChar w:fldCharType="separate"/>
      </w:r>
      <w:r>
        <w:t>9</w:t>
      </w:r>
      <w:r>
        <w:fldChar w:fldCharType="end"/>
      </w:r>
      <w:r>
        <w:t>.</w:t>
      </w:r>
    </w:p>
    <w:p w14:paraId="1C75F532" w14:textId="77777777" w:rsidR="00085C05" w:rsidRDefault="00000000">
      <w:pPr>
        <w:pStyle w:val="Heading3"/>
      </w:pPr>
      <w:bookmarkStart w:id="155" w:name="propuesta-de-posicionamiento"/>
      <w:bookmarkEnd w:id="145"/>
      <w:bookmarkEnd w:id="154"/>
      <w:r>
        <w:t>3.5 Propuesta de posicionamiento</w:t>
      </w:r>
    </w:p>
    <w:p w14:paraId="744C3D6D" w14:textId="77777777" w:rsidR="00085C05" w:rsidRDefault="00000000">
      <w:pPr>
        <w:pStyle w:val="Heading4"/>
      </w:pPr>
      <w:bookmarkStart w:id="156" w:name="declaración-de-posicionamiento"/>
      <w:r>
        <w:t>3.5.1 Declaración de posicionamiento</w:t>
      </w:r>
    </w:p>
    <w:p w14:paraId="2BDD7CA1" w14:textId="77777777" w:rsidR="00085C05" w:rsidRDefault="00000000">
      <w:pPr>
        <w:pStyle w:val="FirstParagraph"/>
      </w:pPr>
      <w:r>
        <w:t>Los cuatro hallazgos convergen en una declaración deliberadamente alejada del “otro editor de ebooks” y del “generador IA de libros”:</w:t>
      </w:r>
    </w:p>
    <w:p w14:paraId="6B02F40B" w14:textId="77777777" w:rsidR="00085C05" w:rsidRDefault="00000000">
      <w:pPr>
        <w:pStyle w:val="BlockText"/>
      </w:pPr>
      <w:r>
        <w:rPr>
          <w:b/>
          <w:bCs/>
        </w:rPr>
        <w:t>Anclora Talent es el estudio donde se fabrican productos digitales que nunca se rompen: índice, paginación y activos derivados siempre coherentes por diseño — revisa sin miedo, reimporta sin rehacer, publica sin rechazos.</w:t>
      </w:r>
    </w:p>
    <w:p w14:paraId="6B5935BE" w14:textId="77777777" w:rsidR="00085C05" w:rsidRDefault="00000000">
      <w:pPr>
        <w:pStyle w:val="FirstParagraph"/>
      </w:pPr>
      <w:r>
        <w:t xml:space="preserve">Cada cláusula mapea a evidencia de este capítulo: “nunca se rompen” responde a los dolores top-3 y a la corrupción silenciosa de enlaces e índices en la competencia </w:t>
      </w:r>
      <w:r>
        <w:fldChar w:fldCharType="begin"/>
      </w:r>
      <w:r>
        <w:instrText>NOTEREF _Ref_Footnote_99 \h \f</w:instrText>
      </w:r>
      <w:r>
        <w:fldChar w:fldCharType="separate"/>
      </w:r>
      <w:r>
        <w:rPr>
          <w:vertAlign w:val="superscript"/>
        </w:rPr>
        <w:t>99</w:t>
      </w:r>
      <w:r>
        <w:fldChar w:fldCharType="end"/>
      </w:r>
      <w:r>
        <w:t xml:space="preserve"> </w:t>
      </w:r>
      <w:r>
        <w:fldChar w:fldCharType="begin"/>
      </w:r>
      <w:r>
        <w:instrText>NOTEREF _Ref_Footnote_101 \h \f</w:instrText>
      </w:r>
      <w:r>
        <w:fldChar w:fldCharType="separate"/>
      </w:r>
      <w:r>
        <w:rPr>
          <w:vertAlign w:val="superscript"/>
        </w:rPr>
        <w:t>101</w:t>
      </w:r>
      <w:r>
        <w:fldChar w:fldCharType="end"/>
      </w:r>
      <w:r>
        <w:t xml:space="preserve">; “revisa sin miedo, reimporta sin rehacer” monetiza el round-trip roto y el do-over tax </w:t>
      </w:r>
      <w:r>
        <w:fldChar w:fldCharType="begin"/>
      </w:r>
      <w:r>
        <w:instrText>NOTEREF _Ref_Footnote_99 \h \f</w:instrText>
      </w:r>
      <w:r>
        <w:fldChar w:fldCharType="separate"/>
      </w:r>
      <w:r>
        <w:rPr>
          <w:vertAlign w:val="superscript"/>
        </w:rPr>
        <w:t>99</w:t>
      </w:r>
      <w:r>
        <w:fldChar w:fldCharType="end"/>
      </w:r>
      <w:r>
        <w:t xml:space="preserve"> </w:t>
      </w:r>
      <w:r>
        <w:fldChar w:fldCharType="begin"/>
      </w:r>
      <w:r>
        <w:instrText>NOTEREF _Ref_Footnote_7 \h \f</w:instrText>
      </w:r>
      <w:r>
        <w:fldChar w:fldCharType="separate"/>
      </w:r>
      <w:r>
        <w:t>7</w:t>
      </w:r>
      <w:r>
        <w:fldChar w:fldCharType="end"/>
      </w:r>
      <w:r>
        <w:t xml:space="preserve">; “publica sin rechazos” ataca el dolor bloqueante de validación EPUB/KDP </w:t>
      </w:r>
      <w:r>
        <w:fldChar w:fldCharType="begin"/>
      </w:r>
      <w:r>
        <w:instrText>NOTEREF _Ref_Footnote_104 \h \f</w:instrText>
      </w:r>
      <w:r>
        <w:fldChar w:fldCharType="separate"/>
      </w:r>
      <w:r>
        <w:rPr>
          <w:vertAlign w:val="superscript"/>
        </w:rPr>
        <w:t>104</w:t>
      </w:r>
      <w:r>
        <w:fldChar w:fldCharType="end"/>
      </w:r>
      <w:r>
        <w:t xml:space="preserve"> </w:t>
      </w:r>
      <w:r>
        <w:fldChar w:fldCharType="begin"/>
      </w:r>
      <w:r>
        <w:instrText>NOTEREF _Ref_Footnote_12 \h \f</w:instrText>
      </w:r>
      <w:r>
        <w:fldChar w:fldCharType="separate"/>
      </w:r>
      <w:r>
        <w:rPr>
          <w:vertAlign w:val="superscript"/>
        </w:rPr>
        <w:t>12</w:t>
      </w:r>
      <w:r>
        <w:fldChar w:fldCharType="end"/>
      </w:r>
      <w:r>
        <w:t xml:space="preserve">; y el sujeto —productos digitales, no libros— apunta al infoproductor de no-ficción hispanohablante, con márgenes del 70-90% en productos digitales y WTP demostrado </w:t>
      </w:r>
      <w:r>
        <w:fldChar w:fldCharType="begin"/>
      </w:r>
      <w:r>
        <w:instrText>NOTEREF _Ref_Footnote_123 \h \f</w:instrText>
      </w:r>
      <w:r>
        <w:fldChar w:fldCharType="separate"/>
      </w:r>
      <w:r>
        <w:rPr>
          <w:vertAlign w:val="superscript"/>
        </w:rPr>
        <w:t>123</w:t>
      </w:r>
      <w:r>
        <w:fldChar w:fldCharType="end"/>
      </w:r>
      <w:r>
        <w:t xml:space="preserve">. La IA entra como asistente editorial gobernado y trazable, no como autor </w:t>
      </w:r>
      <w:r>
        <w:fldChar w:fldCharType="begin"/>
      </w:r>
      <w:r>
        <w:instrText>NOTEREF _Ref_Footnote_13 \h \f</w:instrText>
      </w:r>
      <w:r>
        <w:fldChar w:fldCharType="separate"/>
      </w:r>
      <w:r>
        <w:rPr>
          <w:vertAlign w:val="superscript"/>
        </w:rPr>
        <w:t>13</w:t>
      </w:r>
      <w:r>
        <w:fldChar w:fldCharType="end"/>
      </w:r>
      <w:r>
        <w:t xml:space="preserve"> </w:t>
      </w:r>
      <w:r>
        <w:fldChar w:fldCharType="begin"/>
      </w:r>
      <w:r>
        <w:instrText>NOTEREF _Ref_Footnote_102 \h \f</w:instrText>
      </w:r>
      <w:r>
        <w:fldChar w:fldCharType="separate"/>
      </w:r>
      <w:r>
        <w:rPr>
          <w:vertAlign w:val="superscript"/>
        </w:rPr>
        <w:t>102</w:t>
      </w:r>
      <w:r>
        <w:fldChar w:fldCharType="end"/>
      </w:r>
      <w:r>
        <w:t>.</w:t>
      </w:r>
    </w:p>
    <w:p w14:paraId="586F9BA7" w14:textId="77777777" w:rsidR="00085C05" w:rsidRDefault="00000000">
      <w:pPr>
        <w:pStyle w:val="BodyText"/>
      </w:pPr>
      <w:r>
        <w:t>Esta declaración es el insumo directo del capítulo 4: el plan por fases la operacionaliza —Fase 0, productizar el motor y elevar la reimportación a feature insignia; Fase 1, EPUB con validación pre-publicación por canal para hacer literal “publica sin rechazos”; Fase 2, plantillas y export multi-formato para el “estudio de productos digitales”; y, transversal, la capa de IA gobernada con disclosure automático. El posicionamiento está listo; lo que sigue es ejecutarlo en orden.</w:t>
      </w:r>
    </w:p>
    <w:p w14:paraId="4CB34995" w14:textId="77777777" w:rsidR="00085C05" w:rsidRDefault="00000000">
      <w:pPr>
        <w:pStyle w:val="Heading2"/>
      </w:pPr>
      <w:bookmarkStart w:id="157" w:name="plan-de-mejora-definitivo-por-fases"/>
      <w:bookmarkEnd w:id="113"/>
      <w:bookmarkEnd w:id="155"/>
      <w:bookmarkEnd w:id="156"/>
      <w:r>
        <w:lastRenderedPageBreak/>
        <w:t>4. Plan de mejora definitivo por fases</w:t>
      </w:r>
    </w:p>
    <w:p w14:paraId="151AB2E5" w14:textId="77777777" w:rsidR="00085C05" w:rsidRDefault="00000000">
      <w:pPr>
        <w:pStyle w:val="FirstParagraph"/>
      </w:pPr>
      <w:r>
        <w:t xml:space="preserve">La conclusión que organiza este capítulo invierte el plan original de Perplexity: Anclora Talent no necesita construir su diferencial, necesita cobrarlo. El motor de composición gobernado que ese plan proponía crear en sus Fases 0 y 1 ya existe en producción y testado </w:t>
      </w:r>
      <w:r>
        <w:fldChar w:fldCharType="begin"/>
      </w:r>
      <w:r>
        <w:instrText>NOTEREF _Ref_Footnote_2 \h \f</w:instrText>
      </w:r>
      <w:r>
        <w:fldChar w:fldCharType="separate"/>
      </w:r>
      <w:r>
        <w:t>2</w:t>
      </w:r>
      <w:r>
        <w:fldChar w:fldCharType="end"/>
      </w:r>
      <w:r>
        <w:t xml:space="preserve"> </w:t>
      </w:r>
      <w:r>
        <w:fldChar w:fldCharType="begin"/>
      </w:r>
      <w:r>
        <w:instrText>NOTEREF _Ref_Footnote_1 \h \f</w:instrText>
      </w:r>
      <w:r>
        <w:fldChar w:fldCharType="separate"/>
      </w:r>
      <w:r>
        <w:t>1</w:t>
      </w:r>
      <w:r>
        <w:fldChar w:fldCharType="end"/>
      </w:r>
      <w:r>
        <w:t>, y lo que el mercado no puede ver no puede comprar. El plan definitivo se re-basa con una secuencia explícita: convertir el motor en producto visible (Fase 0), hacer a Anclora elegible para el canal dominante de venta (Fase 1: EPUB y pre-flight), ampliar el valor por cuenta del libro al producto digital compuesto (Fase 2), defender el foso con IA gobernada (Fase 3) y, solo entonces, escalar a distribución, colaboración y ecosistema (Fase 4). Cada fase es un vertical slice con criterio de salida que autoriza la siguiente. Este capítulo decide qué se construye y por qué en ese orden; calendario, go-to-market y métricas se desarrollan en el capítulo 5.</w:t>
      </w:r>
    </w:p>
    <w:p w14:paraId="3C4DC5E5" w14:textId="77777777" w:rsidR="00085C05" w:rsidRDefault="00000000">
      <w:pPr>
        <w:pStyle w:val="Heading3"/>
      </w:pPr>
      <w:bookmarkStart w:id="158" w:name="principios-rectores-del-plan"/>
      <w:r>
        <w:t>4.1 Principios rectores del plan</w:t>
      </w:r>
    </w:p>
    <w:p w14:paraId="0EADBFB5" w14:textId="77777777" w:rsidR="00085C05" w:rsidRDefault="00000000">
      <w:pPr>
        <w:pStyle w:val="Heading4"/>
      </w:pPr>
      <w:bookmarkStart w:id="159" w:name="Xafb23992a4a69f37fd56c14c5d65d6b16657ee9"/>
      <w:r>
        <w:t>4.1.1 No construir lo construido: vertical slices sobre la línea base real</w:t>
      </w:r>
    </w:p>
    <w:p w14:paraId="3AA02A3E" w14:textId="77777777" w:rsidR="00085C05" w:rsidRDefault="00000000">
      <w:pPr>
        <w:pStyle w:val="FirstParagraph"/>
      </w:pPr>
      <w:r>
        <w:t>La auditoría del repositorio demuestra que el AST de bloques (</w:t>
      </w:r>
      <w:r>
        <w:rPr>
          <w:rStyle w:val="VerbatimChar"/>
        </w:rPr>
        <w:t>src/lib/document/</w:t>
      </w:r>
      <w:r>
        <w:t>), el compositor determinista (</w:t>
      </w:r>
      <w:r>
        <w:rPr>
          <w:rStyle w:val="VerbatimChar"/>
        </w:rPr>
        <w:t>src/lib/compose/</w:t>
      </w:r>
      <w:r>
        <w:t xml:space="preserve">), el TOC regenerado al 100% en cada ejecución, las reglas declarativas con violaciones nunca silenciadas, la recomposición incremental, el export gate y la reimportación DOCX con diff están implementados y cubiertos por ~483 tests </w:t>
      </w:r>
      <w:r>
        <w:fldChar w:fldCharType="begin"/>
      </w:r>
      <w:r>
        <w:instrText>NOTEREF _Ref_Footnote_1 \h \f</w:instrText>
      </w:r>
      <w:r>
        <w:fldChar w:fldCharType="separate"/>
      </w:r>
      <w:r>
        <w:t>1</w:t>
      </w:r>
      <w:r>
        <w:fldChar w:fldCharType="end"/>
      </w:r>
      <w:r>
        <w:t xml:space="preserve">. Ninguna línea de este plan reconstruye esas capacidades. La consecuencia operativa es doble. Primera: cada fase se define como un vertical slice —código, interfaz, narrativa y medición en la misma entrega— y nunca como capa horizontal de infraestructura; con una ventana de diferenciación de unos doce meses antes de que los end-to-end baratos añadan gobernanza, cada mes invertido en trabajo invisible retrasa ingresos sin mover el posicionamiento </w:t>
      </w:r>
      <w:r>
        <w:fldChar w:fldCharType="begin"/>
      </w:r>
      <w:r>
        <w:instrText>NOTEREF _Ref_Footnote_52 \h \f</w:instrText>
      </w:r>
      <w:r>
        <w:fldChar w:fldCharType="separate"/>
      </w:r>
      <w:r>
        <w:rPr>
          <w:vertAlign w:val="superscript"/>
        </w:rPr>
        <w:t>52</w:t>
      </w:r>
      <w:r>
        <w:fldChar w:fldCharType="end"/>
      </w:r>
      <w:r>
        <w:t>. Segunda: los entregables se anclan en componentes reales del repo —</w:t>
      </w:r>
      <w:r>
        <w:rPr>
          <w:rStyle w:val="VerbatimChar"/>
        </w:rPr>
        <w:t>DocumentHealthPanel</w:t>
      </w:r>
      <w:r>
        <w:t xml:space="preserve">, </w:t>
      </w:r>
      <w:r>
        <w:rPr>
          <w:rStyle w:val="VerbatimChar"/>
        </w:rPr>
        <w:t>DocumentRulesPanel</w:t>
      </w:r>
      <w:r>
        <w:t xml:space="preserve">, compose engine, </w:t>
      </w:r>
      <w:r>
        <w:rPr>
          <w:rStyle w:val="VerbatimChar"/>
        </w:rPr>
        <w:t>ReimportDialog</w:t>
      </w:r>
      <w:r>
        <w:t xml:space="preserve">, </w:t>
      </w:r>
      <w:r>
        <w:rPr>
          <w:rStyle w:val="VerbatimChar"/>
        </w:rPr>
        <w:t>ExportJob</w:t>
      </w:r>
      <w:r>
        <w:t>, Cover Studio— para que el plan sea traducible a backlog sin capa de interpretación.</w:t>
      </w:r>
    </w:p>
    <w:p w14:paraId="2D815BCD" w14:textId="77777777" w:rsidR="00085C05" w:rsidRDefault="00000000">
      <w:pPr>
        <w:pStyle w:val="Heading4"/>
      </w:pPr>
      <w:bookmarkStart w:id="160" w:name="Xbf351baff44cff826bb63e50bfb727e030dfc5e"/>
      <w:bookmarkEnd w:id="159"/>
      <w:r>
        <w:t>4.1.2 Prioridad por impacto en el dolor nuclear, defendibilidad y esfuerzo</w:t>
      </w:r>
    </w:p>
    <w:p w14:paraId="56AB81B1" w14:textId="77777777" w:rsidR="00085C05" w:rsidRDefault="00000000">
      <w:pPr>
        <w:pStyle w:val="FirstParagraph"/>
      </w:pPr>
      <w:r>
        <w:t xml:space="preserve">Toda iniciativa se puntúa con tres criterios. Impacto en el dolor nuclear: cuántos dólares del willingness to pay ya documentado captura (maquetación humana a $475-1.275 por libro, auto-fix de EPUB a $12,99 por archivo, do-over tax de 30×) </w:t>
      </w:r>
      <w:r>
        <w:fldChar w:fldCharType="begin"/>
      </w:r>
      <w:r>
        <w:instrText>NOTEREF _Ref_Footnote_6 \h \f</w:instrText>
      </w:r>
      <w:r>
        <w:fldChar w:fldCharType="separate"/>
      </w:r>
      <w:r>
        <w:t>6</w:t>
      </w:r>
      <w:r>
        <w:fldChar w:fldCharType="end"/>
      </w:r>
      <w:r>
        <w:t xml:space="preserve"> </w:t>
      </w:r>
      <w:r>
        <w:fldChar w:fldCharType="begin"/>
      </w:r>
      <w:r>
        <w:instrText>NOTEREF _Ref_Footnote_7 \h \f</w:instrText>
      </w:r>
      <w:r>
        <w:fldChar w:fldCharType="separate"/>
      </w:r>
      <w:r>
        <w:t>7</w:t>
      </w:r>
      <w:r>
        <w:fldChar w:fldCharType="end"/>
      </w:r>
      <w:r>
        <w:t xml:space="preserve"> </w:t>
      </w:r>
      <w:r>
        <w:fldChar w:fldCharType="begin"/>
      </w:r>
      <w:r>
        <w:instrText>NOTEREF _Ref_Footnote_104 \h \f</w:instrText>
      </w:r>
      <w:r>
        <w:fldChar w:fldCharType="separate"/>
      </w:r>
      <w:r>
        <w:rPr>
          <w:vertAlign w:val="superscript"/>
        </w:rPr>
        <w:t>104</w:t>
      </w:r>
      <w:r>
        <w:fldChar w:fldCharType="end"/>
      </w:r>
      <w:r>
        <w:t>. Defendibilidad: si exige un modelo semántico propio —difícil de copiar en un trimestre— o es replicable con un sprint de UI. Esfuerzo: si monta sobre la FASE C o exige un subsistema nuevo. La tabla 1 aplica la matriz a las catorce iniciativas del plan.</w:t>
      </w:r>
    </w:p>
    <w:p w14:paraId="0C9B4250" w14:textId="77777777" w:rsidR="00085C05" w:rsidRDefault="00000000">
      <w:pPr>
        <w:pStyle w:val="BodyText"/>
      </w:pPr>
      <w:r>
        <w:rPr>
          <w:b/>
          <w:bCs/>
        </w:rPr>
        <w:t>Tabla 1. Matriz de priorización de iniciativas (impacto × defendibilidad × esfuerzo)</w:t>
      </w:r>
    </w:p>
    <w:tbl>
      <w:tblPr>
        <w:tblStyle w:val="Table"/>
        <w:tblW w:w="5000" w:type="pct"/>
        <w:tblLook w:val="0020" w:firstRow="1" w:lastRow="0" w:firstColumn="0" w:lastColumn="0" w:noHBand="0" w:noVBand="0"/>
      </w:tblPr>
      <w:tblGrid>
        <w:gridCol w:w="2082"/>
        <w:gridCol w:w="683"/>
        <w:gridCol w:w="1641"/>
        <w:gridCol w:w="1833"/>
        <w:gridCol w:w="1129"/>
        <w:gridCol w:w="1686"/>
      </w:tblGrid>
      <w:tr w:rsidR="00085C05" w14:paraId="5BC3E90D"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3B4BB6D4" w14:textId="77777777" w:rsidR="00085C05" w:rsidRDefault="00000000">
            <w:pPr>
              <w:pStyle w:val="Compact"/>
            </w:pPr>
            <w:r>
              <w:t>Iniciativa</w:t>
            </w:r>
          </w:p>
        </w:tc>
        <w:tc>
          <w:tcPr>
            <w:tcW w:w="0" w:type="auto"/>
          </w:tcPr>
          <w:p w14:paraId="62B1AC98" w14:textId="77777777" w:rsidR="00085C05" w:rsidRDefault="00000000">
            <w:pPr>
              <w:pStyle w:val="Compact"/>
            </w:pPr>
            <w:r>
              <w:t>Fase</w:t>
            </w:r>
          </w:p>
        </w:tc>
        <w:tc>
          <w:tcPr>
            <w:tcW w:w="0" w:type="auto"/>
          </w:tcPr>
          <w:p w14:paraId="55372B4B" w14:textId="77777777" w:rsidR="00085C05" w:rsidRDefault="00000000">
            <w:pPr>
              <w:pStyle w:val="Compact"/>
            </w:pPr>
            <w:r>
              <w:t>Impacto en dolor</w:t>
            </w:r>
          </w:p>
        </w:tc>
        <w:tc>
          <w:tcPr>
            <w:tcW w:w="0" w:type="auto"/>
          </w:tcPr>
          <w:p w14:paraId="4084C18D" w14:textId="77777777" w:rsidR="00085C05" w:rsidRDefault="00000000">
            <w:pPr>
              <w:pStyle w:val="Compact"/>
            </w:pPr>
            <w:r>
              <w:t>Defendibilidad</w:t>
            </w:r>
          </w:p>
        </w:tc>
        <w:tc>
          <w:tcPr>
            <w:tcW w:w="0" w:type="auto"/>
          </w:tcPr>
          <w:p w14:paraId="400207E1" w14:textId="77777777" w:rsidR="00085C05" w:rsidRDefault="00000000">
            <w:pPr>
              <w:pStyle w:val="Compact"/>
            </w:pPr>
            <w:r>
              <w:t>Esfuerzo</w:t>
            </w:r>
          </w:p>
        </w:tc>
        <w:tc>
          <w:tcPr>
            <w:tcW w:w="0" w:type="auto"/>
          </w:tcPr>
          <w:p w14:paraId="28F50B6C" w14:textId="77777777" w:rsidR="00085C05" w:rsidRDefault="00000000">
            <w:pPr>
              <w:pStyle w:val="Compact"/>
            </w:pPr>
            <w:r>
              <w:t>Veredicto</w:t>
            </w:r>
          </w:p>
        </w:tc>
      </w:tr>
      <w:tr w:rsidR="00085C05" w14:paraId="7EEF77B0" w14:textId="77777777">
        <w:tc>
          <w:tcPr>
            <w:tcW w:w="0" w:type="auto"/>
          </w:tcPr>
          <w:p w14:paraId="05D0881E" w14:textId="77777777" w:rsidR="00085C05" w:rsidRDefault="00000000">
            <w:pPr>
              <w:pStyle w:val="Compact"/>
            </w:pPr>
            <w:r>
              <w:t xml:space="preserve">Productización del motor: </w:t>
            </w:r>
            <w:r>
              <w:lastRenderedPageBreak/>
              <w:t>onboarding, presets narrados, marketing del health panel</w:t>
            </w:r>
          </w:p>
        </w:tc>
        <w:tc>
          <w:tcPr>
            <w:tcW w:w="0" w:type="auto"/>
          </w:tcPr>
          <w:p w14:paraId="2C02AC0F" w14:textId="77777777" w:rsidR="00085C05" w:rsidRDefault="00000000">
            <w:pPr>
              <w:pStyle w:val="Compact"/>
            </w:pPr>
            <w:r>
              <w:lastRenderedPageBreak/>
              <w:t>0</w:t>
            </w:r>
          </w:p>
        </w:tc>
        <w:tc>
          <w:tcPr>
            <w:tcW w:w="0" w:type="auto"/>
          </w:tcPr>
          <w:p w14:paraId="7D8F8806" w14:textId="77777777" w:rsidR="00085C05" w:rsidRDefault="00000000">
            <w:pPr>
              <w:pStyle w:val="Compact"/>
            </w:pPr>
            <w:r>
              <w:t>Alto</w:t>
            </w:r>
          </w:p>
        </w:tc>
        <w:tc>
          <w:tcPr>
            <w:tcW w:w="0" w:type="auto"/>
          </w:tcPr>
          <w:p w14:paraId="06624073" w14:textId="77777777" w:rsidR="00085C05" w:rsidRDefault="00000000">
            <w:pPr>
              <w:pStyle w:val="Compact"/>
            </w:pPr>
            <w:r>
              <w:t xml:space="preserve">Media (narrativa </w:t>
            </w:r>
            <w:r>
              <w:lastRenderedPageBreak/>
              <w:t>copiable, motor no)</w:t>
            </w:r>
          </w:p>
        </w:tc>
        <w:tc>
          <w:tcPr>
            <w:tcW w:w="0" w:type="auto"/>
          </w:tcPr>
          <w:p w14:paraId="024F2F68" w14:textId="77777777" w:rsidR="00085C05" w:rsidRDefault="00000000">
            <w:pPr>
              <w:pStyle w:val="Compact"/>
            </w:pPr>
            <w:r>
              <w:lastRenderedPageBreak/>
              <w:t>Bajo</w:t>
            </w:r>
          </w:p>
        </w:tc>
        <w:tc>
          <w:tcPr>
            <w:tcW w:w="0" w:type="auto"/>
          </w:tcPr>
          <w:p w14:paraId="32DA6207" w14:textId="77777777" w:rsidR="00085C05" w:rsidRDefault="00000000">
            <w:pPr>
              <w:pStyle w:val="Compact"/>
            </w:pPr>
            <w:r>
              <w:t xml:space="preserve">Hacer ya: ROI inmediato </w:t>
            </w:r>
            <w:r>
              <w:lastRenderedPageBreak/>
              <w:t>sobre código existente</w:t>
            </w:r>
          </w:p>
        </w:tc>
      </w:tr>
      <w:tr w:rsidR="00085C05" w14:paraId="6E680A6E" w14:textId="77777777">
        <w:tc>
          <w:tcPr>
            <w:tcW w:w="0" w:type="auto"/>
          </w:tcPr>
          <w:p w14:paraId="43CFA747" w14:textId="77777777" w:rsidR="00085C05" w:rsidRDefault="00000000">
            <w:pPr>
              <w:pStyle w:val="Compact"/>
            </w:pPr>
            <w:r>
              <w:lastRenderedPageBreak/>
              <w:t>Estabilidad y telemetría de recomposición</w:t>
            </w:r>
          </w:p>
        </w:tc>
        <w:tc>
          <w:tcPr>
            <w:tcW w:w="0" w:type="auto"/>
          </w:tcPr>
          <w:p w14:paraId="105130E1" w14:textId="77777777" w:rsidR="00085C05" w:rsidRDefault="00000000">
            <w:pPr>
              <w:pStyle w:val="Compact"/>
            </w:pPr>
            <w:r>
              <w:t>0</w:t>
            </w:r>
          </w:p>
        </w:tc>
        <w:tc>
          <w:tcPr>
            <w:tcW w:w="0" w:type="auto"/>
          </w:tcPr>
          <w:p w14:paraId="15CCD24D" w14:textId="77777777" w:rsidR="00085C05" w:rsidRDefault="00000000">
            <w:pPr>
              <w:pStyle w:val="Compact"/>
            </w:pPr>
            <w:r>
              <w:t>Alto</w:t>
            </w:r>
          </w:p>
        </w:tc>
        <w:tc>
          <w:tcPr>
            <w:tcW w:w="0" w:type="auto"/>
          </w:tcPr>
          <w:p w14:paraId="6DAC8E0A" w14:textId="77777777" w:rsidR="00085C05" w:rsidRDefault="00000000">
            <w:pPr>
              <w:pStyle w:val="Compact"/>
            </w:pPr>
            <w:r>
              <w:t>Alta</w:t>
            </w:r>
          </w:p>
        </w:tc>
        <w:tc>
          <w:tcPr>
            <w:tcW w:w="0" w:type="auto"/>
          </w:tcPr>
          <w:p w14:paraId="0FD20D12" w14:textId="77777777" w:rsidR="00085C05" w:rsidRDefault="00000000">
            <w:pPr>
              <w:pStyle w:val="Compact"/>
            </w:pPr>
            <w:r>
              <w:t>Medio</w:t>
            </w:r>
          </w:p>
        </w:tc>
        <w:tc>
          <w:tcPr>
            <w:tcW w:w="0" w:type="auto"/>
          </w:tcPr>
          <w:p w14:paraId="084C33B3" w14:textId="77777777" w:rsidR="00085C05" w:rsidRDefault="00000000">
            <w:pPr>
              <w:pStyle w:val="Compact"/>
            </w:pPr>
            <w:r>
              <w:t>Hacer ya: requisito de confianza de la categoría</w:t>
            </w:r>
          </w:p>
        </w:tc>
      </w:tr>
      <w:tr w:rsidR="00085C05" w14:paraId="1F4E12F1" w14:textId="77777777">
        <w:tc>
          <w:tcPr>
            <w:tcW w:w="0" w:type="auto"/>
          </w:tcPr>
          <w:p w14:paraId="286504D7" w14:textId="77777777" w:rsidR="00085C05" w:rsidRDefault="00000000">
            <w:pPr>
              <w:pStyle w:val="Compact"/>
            </w:pPr>
            <w:r>
              <w:t>Deuda del motor: undo de diffs, cover-studio vía modelo, tests de contrato</w:t>
            </w:r>
          </w:p>
        </w:tc>
        <w:tc>
          <w:tcPr>
            <w:tcW w:w="0" w:type="auto"/>
          </w:tcPr>
          <w:p w14:paraId="46776EB7" w14:textId="77777777" w:rsidR="00085C05" w:rsidRDefault="00000000">
            <w:pPr>
              <w:pStyle w:val="Compact"/>
            </w:pPr>
            <w:r>
              <w:t>0</w:t>
            </w:r>
          </w:p>
        </w:tc>
        <w:tc>
          <w:tcPr>
            <w:tcW w:w="0" w:type="auto"/>
          </w:tcPr>
          <w:p w14:paraId="6EDF4EAD" w14:textId="77777777" w:rsidR="00085C05" w:rsidRDefault="00000000">
            <w:pPr>
              <w:pStyle w:val="Compact"/>
            </w:pPr>
            <w:r>
              <w:t>Medio-alto</w:t>
            </w:r>
          </w:p>
        </w:tc>
        <w:tc>
          <w:tcPr>
            <w:tcW w:w="0" w:type="auto"/>
          </w:tcPr>
          <w:p w14:paraId="07DA27C8" w14:textId="77777777" w:rsidR="00085C05" w:rsidRDefault="00000000">
            <w:pPr>
              <w:pStyle w:val="Compact"/>
            </w:pPr>
            <w:r>
              <w:t>Alta</w:t>
            </w:r>
          </w:p>
        </w:tc>
        <w:tc>
          <w:tcPr>
            <w:tcW w:w="0" w:type="auto"/>
          </w:tcPr>
          <w:p w14:paraId="5734CA8B" w14:textId="77777777" w:rsidR="00085C05" w:rsidRDefault="00000000">
            <w:pPr>
              <w:pStyle w:val="Compact"/>
            </w:pPr>
            <w:r>
              <w:t>Medio</w:t>
            </w:r>
          </w:p>
        </w:tc>
        <w:tc>
          <w:tcPr>
            <w:tcW w:w="0" w:type="auto"/>
          </w:tcPr>
          <w:p w14:paraId="1F4B1AC1" w14:textId="77777777" w:rsidR="00085C05" w:rsidRDefault="00000000">
            <w:pPr>
              <w:pStyle w:val="Compact"/>
            </w:pPr>
            <w:r>
              <w:t>Hacer ya: protege la feature insignia</w:t>
            </w:r>
          </w:p>
        </w:tc>
      </w:tr>
      <w:tr w:rsidR="00085C05" w14:paraId="445F6069" w14:textId="77777777">
        <w:tc>
          <w:tcPr>
            <w:tcW w:w="0" w:type="auto"/>
          </w:tcPr>
          <w:p w14:paraId="11395D34" w14:textId="77777777" w:rsidR="00085C05" w:rsidRDefault="00000000">
            <w:pPr>
              <w:pStyle w:val="Compact"/>
            </w:pPr>
            <w:r>
              <w:t>Export EPUB 3 válido con EPUBCheck en CI</w:t>
            </w:r>
          </w:p>
        </w:tc>
        <w:tc>
          <w:tcPr>
            <w:tcW w:w="0" w:type="auto"/>
          </w:tcPr>
          <w:p w14:paraId="60B94976" w14:textId="77777777" w:rsidR="00085C05" w:rsidRDefault="00000000">
            <w:pPr>
              <w:pStyle w:val="Compact"/>
            </w:pPr>
            <w:r>
              <w:t>1</w:t>
            </w:r>
          </w:p>
        </w:tc>
        <w:tc>
          <w:tcPr>
            <w:tcW w:w="0" w:type="auto"/>
          </w:tcPr>
          <w:p w14:paraId="3F442F33" w14:textId="77777777" w:rsidR="00085C05" w:rsidRDefault="00000000">
            <w:pPr>
              <w:pStyle w:val="Compact"/>
            </w:pPr>
            <w:r>
              <w:t>Muy alto (elegibilidad)</w:t>
            </w:r>
          </w:p>
        </w:tc>
        <w:tc>
          <w:tcPr>
            <w:tcW w:w="0" w:type="auto"/>
          </w:tcPr>
          <w:p w14:paraId="35D3909E" w14:textId="77777777" w:rsidR="00085C05" w:rsidRDefault="00000000">
            <w:pPr>
              <w:pStyle w:val="Compact"/>
            </w:pPr>
            <w:r>
              <w:t>Media</w:t>
            </w:r>
          </w:p>
        </w:tc>
        <w:tc>
          <w:tcPr>
            <w:tcW w:w="0" w:type="auto"/>
          </w:tcPr>
          <w:p w14:paraId="105FD61E" w14:textId="77777777" w:rsidR="00085C05" w:rsidRDefault="00000000">
            <w:pPr>
              <w:pStyle w:val="Compact"/>
            </w:pPr>
            <w:r>
              <w:t>Medio</w:t>
            </w:r>
          </w:p>
        </w:tc>
        <w:tc>
          <w:tcPr>
            <w:tcW w:w="0" w:type="auto"/>
          </w:tcPr>
          <w:p w14:paraId="47A5F2C6" w14:textId="77777777" w:rsidR="00085C05" w:rsidRDefault="00000000">
            <w:pPr>
              <w:pStyle w:val="Compact"/>
            </w:pPr>
            <w:r>
              <w:t>Prioridad máxima: ticket de entrada al mercado</w:t>
            </w:r>
          </w:p>
        </w:tc>
      </w:tr>
      <w:tr w:rsidR="00085C05" w14:paraId="19C17E1D" w14:textId="77777777">
        <w:tc>
          <w:tcPr>
            <w:tcW w:w="0" w:type="auto"/>
          </w:tcPr>
          <w:p w14:paraId="1A0264C1" w14:textId="77777777" w:rsidR="00085C05" w:rsidRDefault="00000000">
            <w:pPr>
              <w:pStyle w:val="Compact"/>
            </w:pPr>
            <w:r>
              <w:t>Validador pre-publicación por canal (KDP, IngramSpark, Kobo)</w:t>
            </w:r>
          </w:p>
        </w:tc>
        <w:tc>
          <w:tcPr>
            <w:tcW w:w="0" w:type="auto"/>
          </w:tcPr>
          <w:p w14:paraId="68DFF3F6" w14:textId="77777777" w:rsidR="00085C05" w:rsidRDefault="00000000">
            <w:pPr>
              <w:pStyle w:val="Compact"/>
            </w:pPr>
            <w:r>
              <w:t>1</w:t>
            </w:r>
          </w:p>
        </w:tc>
        <w:tc>
          <w:tcPr>
            <w:tcW w:w="0" w:type="auto"/>
          </w:tcPr>
          <w:p w14:paraId="729F18E1" w14:textId="77777777" w:rsidR="00085C05" w:rsidRDefault="00000000">
            <w:pPr>
              <w:pStyle w:val="Compact"/>
            </w:pPr>
            <w:r>
              <w:t>Alto</w:t>
            </w:r>
          </w:p>
        </w:tc>
        <w:tc>
          <w:tcPr>
            <w:tcW w:w="0" w:type="auto"/>
          </w:tcPr>
          <w:p w14:paraId="5C8A5AE2" w14:textId="77777777" w:rsidR="00085C05" w:rsidRDefault="00000000">
            <w:pPr>
              <w:pStyle w:val="Compact"/>
            </w:pPr>
            <w:r>
              <w:t>Alta</w:t>
            </w:r>
          </w:p>
        </w:tc>
        <w:tc>
          <w:tcPr>
            <w:tcW w:w="0" w:type="auto"/>
          </w:tcPr>
          <w:p w14:paraId="42CD86B7" w14:textId="77777777" w:rsidR="00085C05" w:rsidRDefault="00000000">
            <w:pPr>
              <w:pStyle w:val="Compact"/>
            </w:pPr>
            <w:r>
              <w:t>Medio</w:t>
            </w:r>
          </w:p>
        </w:tc>
        <w:tc>
          <w:tcPr>
            <w:tcW w:w="0" w:type="auto"/>
          </w:tcPr>
          <w:p w14:paraId="61B5E28F" w14:textId="77777777" w:rsidR="00085C05" w:rsidRDefault="00000000">
            <w:pPr>
              <w:pStyle w:val="Compact"/>
            </w:pPr>
            <w:r>
              <w:t xml:space="preserve">Diferencial: nadie lo integra </w:t>
            </w:r>
            <w:r>
              <w:fldChar w:fldCharType="begin"/>
            </w:r>
            <w:r>
              <w:instrText>NOTEREF _Ref_Footnote_104 \h \f</w:instrText>
            </w:r>
            <w:r>
              <w:fldChar w:fldCharType="separate"/>
            </w:r>
            <w:r>
              <w:rPr>
                <w:vertAlign w:val="superscript"/>
              </w:rPr>
              <w:t>104</w:t>
            </w:r>
            <w:r>
              <w:fldChar w:fldCharType="end"/>
            </w:r>
            <w:r>
              <w:t xml:space="preserve"> </w:t>
            </w:r>
            <w:r>
              <w:fldChar w:fldCharType="begin"/>
            </w:r>
            <w:r>
              <w:instrText>NOTEREF _Ref_Footnote_12 \h \f</w:instrText>
            </w:r>
            <w:r>
              <w:fldChar w:fldCharType="separate"/>
            </w:r>
            <w:r>
              <w:rPr>
                <w:vertAlign w:val="superscript"/>
              </w:rPr>
              <w:t>12</w:t>
            </w:r>
            <w:r>
              <w:fldChar w:fldCharType="end"/>
            </w:r>
          </w:p>
        </w:tc>
      </w:tr>
      <w:tr w:rsidR="00085C05" w14:paraId="381FDDE9" w14:textId="77777777">
        <w:tc>
          <w:tcPr>
            <w:tcW w:w="0" w:type="auto"/>
          </w:tcPr>
          <w:p w14:paraId="2F0FE32C" w14:textId="77777777" w:rsidR="00085C05" w:rsidRDefault="00000000">
            <w:pPr>
              <w:pStyle w:val="Compact"/>
            </w:pPr>
            <w:r>
              <w:t>PDF print-ready con specs de imprenta</w:t>
            </w:r>
          </w:p>
        </w:tc>
        <w:tc>
          <w:tcPr>
            <w:tcW w:w="0" w:type="auto"/>
          </w:tcPr>
          <w:p w14:paraId="0F8AD126" w14:textId="77777777" w:rsidR="00085C05" w:rsidRDefault="00000000">
            <w:pPr>
              <w:pStyle w:val="Compact"/>
            </w:pPr>
            <w:r>
              <w:t>1</w:t>
            </w:r>
          </w:p>
        </w:tc>
        <w:tc>
          <w:tcPr>
            <w:tcW w:w="0" w:type="auto"/>
          </w:tcPr>
          <w:p w14:paraId="5B866131" w14:textId="77777777" w:rsidR="00085C05" w:rsidRDefault="00000000">
            <w:pPr>
              <w:pStyle w:val="Compact"/>
            </w:pPr>
            <w:r>
              <w:t>Alto</w:t>
            </w:r>
          </w:p>
        </w:tc>
        <w:tc>
          <w:tcPr>
            <w:tcW w:w="0" w:type="auto"/>
          </w:tcPr>
          <w:p w14:paraId="4D4B6C17" w14:textId="77777777" w:rsidR="00085C05" w:rsidRDefault="00000000">
            <w:pPr>
              <w:pStyle w:val="Compact"/>
            </w:pPr>
            <w:r>
              <w:t>Media</w:t>
            </w:r>
          </w:p>
        </w:tc>
        <w:tc>
          <w:tcPr>
            <w:tcW w:w="0" w:type="auto"/>
          </w:tcPr>
          <w:p w14:paraId="617E9FA5" w14:textId="77777777" w:rsidR="00085C05" w:rsidRDefault="00000000">
            <w:pPr>
              <w:pStyle w:val="Compact"/>
            </w:pPr>
            <w:r>
              <w:t>Bajo-medio</w:t>
            </w:r>
          </w:p>
        </w:tc>
        <w:tc>
          <w:tcPr>
            <w:tcW w:w="0" w:type="auto"/>
          </w:tcPr>
          <w:p w14:paraId="51BF6F5B" w14:textId="77777777" w:rsidR="00085C05" w:rsidRDefault="00000000">
            <w:pPr>
              <w:pStyle w:val="Compact"/>
            </w:pPr>
            <w:r>
              <w:t>Rápido sobre reglas existentes</w:t>
            </w:r>
          </w:p>
        </w:tc>
      </w:tr>
      <w:tr w:rsidR="00085C05" w14:paraId="632785E4" w14:textId="77777777">
        <w:tc>
          <w:tcPr>
            <w:tcW w:w="0" w:type="auto"/>
          </w:tcPr>
          <w:p w14:paraId="3991040B" w14:textId="77777777" w:rsidR="00085C05" w:rsidRDefault="00000000">
            <w:pPr>
              <w:pStyle w:val="Compact"/>
            </w:pPr>
            <w:r>
              <w:t>Biblioteca de plantillas de producto compuesto</w:t>
            </w:r>
          </w:p>
        </w:tc>
        <w:tc>
          <w:tcPr>
            <w:tcW w:w="0" w:type="auto"/>
          </w:tcPr>
          <w:p w14:paraId="0B54F004" w14:textId="77777777" w:rsidR="00085C05" w:rsidRDefault="00000000">
            <w:pPr>
              <w:pStyle w:val="Compact"/>
            </w:pPr>
            <w:r>
              <w:t>2</w:t>
            </w:r>
          </w:p>
        </w:tc>
        <w:tc>
          <w:tcPr>
            <w:tcW w:w="0" w:type="auto"/>
          </w:tcPr>
          <w:p w14:paraId="54889102" w14:textId="77777777" w:rsidR="00085C05" w:rsidRDefault="00000000">
            <w:pPr>
              <w:pStyle w:val="Compact"/>
            </w:pPr>
            <w:r>
              <w:t>Alto</w:t>
            </w:r>
          </w:p>
        </w:tc>
        <w:tc>
          <w:tcPr>
            <w:tcW w:w="0" w:type="auto"/>
          </w:tcPr>
          <w:p w14:paraId="162FE57A" w14:textId="77777777" w:rsidR="00085C05" w:rsidRDefault="00000000">
            <w:pPr>
              <w:pStyle w:val="Compact"/>
            </w:pPr>
            <w:r>
              <w:t>Media</w:t>
            </w:r>
          </w:p>
        </w:tc>
        <w:tc>
          <w:tcPr>
            <w:tcW w:w="0" w:type="auto"/>
          </w:tcPr>
          <w:p w14:paraId="46833470" w14:textId="77777777" w:rsidR="00085C05" w:rsidRDefault="00000000">
            <w:pPr>
              <w:pStyle w:val="Compact"/>
            </w:pPr>
            <w:r>
              <w:t>Medio-alto</w:t>
            </w:r>
          </w:p>
        </w:tc>
        <w:tc>
          <w:tcPr>
            <w:tcW w:w="0" w:type="auto"/>
          </w:tcPr>
          <w:p w14:paraId="327F9297" w14:textId="77777777" w:rsidR="00085C05" w:rsidRDefault="00000000">
            <w:pPr>
              <w:pStyle w:val="Compact"/>
            </w:pPr>
            <w:r>
              <w:t xml:space="preserve">Vigente del plan original </w:t>
            </w:r>
            <w:r>
              <w:fldChar w:fldCharType="begin"/>
            </w:r>
            <w:r>
              <w:instrText>NOTEREF _Ref_Footnote_2 \h \f</w:instrText>
            </w:r>
            <w:r>
              <w:fldChar w:fldCharType="separate"/>
            </w:r>
            <w:r>
              <w:t>2</w:t>
            </w:r>
            <w:r>
              <w:fldChar w:fldCharType="end"/>
            </w:r>
          </w:p>
        </w:tc>
      </w:tr>
      <w:tr w:rsidR="00085C05" w14:paraId="40BCBB24" w14:textId="77777777">
        <w:tc>
          <w:tcPr>
            <w:tcW w:w="0" w:type="auto"/>
          </w:tcPr>
          <w:p w14:paraId="7E487043" w14:textId="77777777" w:rsidR="00085C05" w:rsidRDefault="00000000">
            <w:pPr>
              <w:pStyle w:val="Compact"/>
            </w:pPr>
            <w:r>
              <w:t>Export multi-formato coordinado con versionado por activo</w:t>
            </w:r>
          </w:p>
        </w:tc>
        <w:tc>
          <w:tcPr>
            <w:tcW w:w="0" w:type="auto"/>
          </w:tcPr>
          <w:p w14:paraId="3C07C4E2" w14:textId="77777777" w:rsidR="00085C05" w:rsidRDefault="00000000">
            <w:pPr>
              <w:pStyle w:val="Compact"/>
            </w:pPr>
            <w:r>
              <w:t>2</w:t>
            </w:r>
          </w:p>
        </w:tc>
        <w:tc>
          <w:tcPr>
            <w:tcW w:w="0" w:type="auto"/>
          </w:tcPr>
          <w:p w14:paraId="1118E666" w14:textId="77777777" w:rsidR="00085C05" w:rsidRDefault="00000000">
            <w:pPr>
              <w:pStyle w:val="Compact"/>
            </w:pPr>
            <w:r>
              <w:t>Alto</w:t>
            </w:r>
          </w:p>
        </w:tc>
        <w:tc>
          <w:tcPr>
            <w:tcW w:w="0" w:type="auto"/>
          </w:tcPr>
          <w:p w14:paraId="034B97CC" w14:textId="77777777" w:rsidR="00085C05" w:rsidRDefault="00000000">
            <w:pPr>
              <w:pStyle w:val="Compact"/>
            </w:pPr>
            <w:r>
              <w:t>Alta</w:t>
            </w:r>
          </w:p>
        </w:tc>
        <w:tc>
          <w:tcPr>
            <w:tcW w:w="0" w:type="auto"/>
          </w:tcPr>
          <w:p w14:paraId="060B1E31" w14:textId="77777777" w:rsidR="00085C05" w:rsidRDefault="00000000">
            <w:pPr>
              <w:pStyle w:val="Compact"/>
            </w:pPr>
            <w:r>
              <w:t>Alto</w:t>
            </w:r>
          </w:p>
        </w:tc>
        <w:tc>
          <w:tcPr>
            <w:tcW w:w="0" w:type="auto"/>
          </w:tcPr>
          <w:p w14:paraId="7391F04D" w14:textId="77777777" w:rsidR="00085C05" w:rsidRDefault="00000000">
            <w:pPr>
              <w:pStyle w:val="Compact"/>
            </w:pPr>
            <w:r>
              <w:t>Multiplica valor por cuenta</w:t>
            </w:r>
          </w:p>
        </w:tc>
      </w:tr>
      <w:tr w:rsidR="00085C05" w14:paraId="10CAE0BD" w14:textId="77777777">
        <w:tc>
          <w:tcPr>
            <w:tcW w:w="0" w:type="auto"/>
          </w:tcPr>
          <w:p w14:paraId="2364247A" w14:textId="77777777" w:rsidR="00085C05" w:rsidRDefault="00000000">
            <w:pPr>
              <w:pStyle w:val="Compact"/>
            </w:pPr>
            <w:r>
              <w:t>Historial de versiones (snapshots sobre el AST)</w:t>
            </w:r>
          </w:p>
        </w:tc>
        <w:tc>
          <w:tcPr>
            <w:tcW w:w="0" w:type="auto"/>
          </w:tcPr>
          <w:p w14:paraId="53D83256" w14:textId="77777777" w:rsidR="00085C05" w:rsidRDefault="00000000">
            <w:pPr>
              <w:pStyle w:val="Compact"/>
            </w:pPr>
            <w:r>
              <w:t>2</w:t>
            </w:r>
          </w:p>
        </w:tc>
        <w:tc>
          <w:tcPr>
            <w:tcW w:w="0" w:type="auto"/>
          </w:tcPr>
          <w:p w14:paraId="280FFB2A" w14:textId="77777777" w:rsidR="00085C05" w:rsidRDefault="00000000">
            <w:pPr>
              <w:pStyle w:val="Compact"/>
            </w:pPr>
            <w:r>
              <w:t>Medio-alto</w:t>
            </w:r>
          </w:p>
        </w:tc>
        <w:tc>
          <w:tcPr>
            <w:tcW w:w="0" w:type="auto"/>
          </w:tcPr>
          <w:p w14:paraId="08233FA5" w14:textId="77777777" w:rsidR="00085C05" w:rsidRDefault="00000000">
            <w:pPr>
              <w:pStyle w:val="Compact"/>
            </w:pPr>
            <w:r>
              <w:t>Alta</w:t>
            </w:r>
          </w:p>
        </w:tc>
        <w:tc>
          <w:tcPr>
            <w:tcW w:w="0" w:type="auto"/>
          </w:tcPr>
          <w:p w14:paraId="4B4D580F" w14:textId="77777777" w:rsidR="00085C05" w:rsidRDefault="00000000">
            <w:pPr>
              <w:pStyle w:val="Compact"/>
            </w:pPr>
            <w:r>
              <w:t>Medio</w:t>
            </w:r>
          </w:p>
        </w:tc>
        <w:tc>
          <w:tcPr>
            <w:tcW w:w="0" w:type="auto"/>
          </w:tcPr>
          <w:p w14:paraId="71381D59" w14:textId="77777777" w:rsidR="00085C05" w:rsidRDefault="00000000">
            <w:pPr>
              <w:pStyle w:val="Compact"/>
            </w:pPr>
            <w:r>
              <w:t xml:space="preserve">Feature request no resuelta en Atticus </w:t>
            </w:r>
            <w:r>
              <w:fldChar w:fldCharType="begin"/>
            </w:r>
            <w:r>
              <w:instrText>NOTEREF _Ref_Footnote_112 \h \f</w:instrText>
            </w:r>
            <w:r>
              <w:fldChar w:fldCharType="separate"/>
            </w:r>
            <w:r>
              <w:rPr>
                <w:vertAlign w:val="superscript"/>
              </w:rPr>
              <w:t>112</w:t>
            </w:r>
            <w:r>
              <w:fldChar w:fldCharType="end"/>
            </w:r>
          </w:p>
        </w:tc>
      </w:tr>
      <w:tr w:rsidR="00085C05" w14:paraId="37223971" w14:textId="77777777">
        <w:tc>
          <w:tcPr>
            <w:tcW w:w="0" w:type="auto"/>
          </w:tcPr>
          <w:p w14:paraId="521C5A72" w14:textId="77777777" w:rsidR="00085C05" w:rsidRDefault="00000000">
            <w:pPr>
              <w:pStyle w:val="Compact"/>
            </w:pPr>
            <w:r>
              <w:t xml:space="preserve">Asistente estructural </w:t>
            </w:r>
            <w:r>
              <w:lastRenderedPageBreak/>
              <w:t>(agentes de salud y coherencia)</w:t>
            </w:r>
          </w:p>
        </w:tc>
        <w:tc>
          <w:tcPr>
            <w:tcW w:w="0" w:type="auto"/>
          </w:tcPr>
          <w:p w14:paraId="24C6B290" w14:textId="77777777" w:rsidR="00085C05" w:rsidRDefault="00000000">
            <w:pPr>
              <w:pStyle w:val="Compact"/>
            </w:pPr>
            <w:r>
              <w:lastRenderedPageBreak/>
              <w:t>3</w:t>
            </w:r>
          </w:p>
        </w:tc>
        <w:tc>
          <w:tcPr>
            <w:tcW w:w="0" w:type="auto"/>
          </w:tcPr>
          <w:p w14:paraId="75BD0E68" w14:textId="77777777" w:rsidR="00085C05" w:rsidRDefault="00000000">
            <w:pPr>
              <w:pStyle w:val="Compact"/>
            </w:pPr>
            <w:r>
              <w:t>Alto</w:t>
            </w:r>
          </w:p>
        </w:tc>
        <w:tc>
          <w:tcPr>
            <w:tcW w:w="0" w:type="auto"/>
          </w:tcPr>
          <w:p w14:paraId="70DEB2A6" w14:textId="77777777" w:rsidR="00085C05" w:rsidRDefault="00000000">
            <w:pPr>
              <w:pStyle w:val="Compact"/>
            </w:pPr>
            <w:r>
              <w:t>Muy alta</w:t>
            </w:r>
          </w:p>
        </w:tc>
        <w:tc>
          <w:tcPr>
            <w:tcW w:w="0" w:type="auto"/>
          </w:tcPr>
          <w:p w14:paraId="2A7888B6" w14:textId="77777777" w:rsidR="00085C05" w:rsidRDefault="00000000">
            <w:pPr>
              <w:pStyle w:val="Compact"/>
            </w:pPr>
            <w:r>
              <w:t>Alto</w:t>
            </w:r>
          </w:p>
        </w:tc>
        <w:tc>
          <w:tcPr>
            <w:tcW w:w="0" w:type="auto"/>
          </w:tcPr>
          <w:p w14:paraId="6D217213" w14:textId="77777777" w:rsidR="00085C05" w:rsidRDefault="00000000">
            <w:pPr>
              <w:pStyle w:val="Compact"/>
            </w:pPr>
            <w:r>
              <w:t xml:space="preserve">IA conectada al motor, no al </w:t>
            </w:r>
            <w:r>
              <w:lastRenderedPageBreak/>
              <w:t>chat</w:t>
            </w:r>
          </w:p>
        </w:tc>
      </w:tr>
      <w:tr w:rsidR="00085C05" w14:paraId="67CB1AF1" w14:textId="77777777">
        <w:tc>
          <w:tcPr>
            <w:tcW w:w="0" w:type="auto"/>
          </w:tcPr>
          <w:p w14:paraId="37026550" w14:textId="77777777" w:rsidR="00085C05" w:rsidRDefault="00000000">
            <w:pPr>
              <w:pStyle w:val="Compact"/>
            </w:pPr>
            <w:r>
              <w:lastRenderedPageBreak/>
              <w:t>Co-autor multiagente con gates humanos</w:t>
            </w:r>
          </w:p>
        </w:tc>
        <w:tc>
          <w:tcPr>
            <w:tcW w:w="0" w:type="auto"/>
          </w:tcPr>
          <w:p w14:paraId="71F58FEB" w14:textId="77777777" w:rsidR="00085C05" w:rsidRDefault="00000000">
            <w:pPr>
              <w:pStyle w:val="Compact"/>
            </w:pPr>
            <w:r>
              <w:t>3</w:t>
            </w:r>
          </w:p>
        </w:tc>
        <w:tc>
          <w:tcPr>
            <w:tcW w:w="0" w:type="auto"/>
          </w:tcPr>
          <w:p w14:paraId="749F0CC0" w14:textId="77777777" w:rsidR="00085C05" w:rsidRDefault="00000000">
            <w:pPr>
              <w:pStyle w:val="Compact"/>
            </w:pPr>
            <w:r>
              <w:t>Medio-alto</w:t>
            </w:r>
          </w:p>
        </w:tc>
        <w:tc>
          <w:tcPr>
            <w:tcW w:w="0" w:type="auto"/>
          </w:tcPr>
          <w:p w14:paraId="14B90EA0" w14:textId="77777777" w:rsidR="00085C05" w:rsidRDefault="00000000">
            <w:pPr>
              <w:pStyle w:val="Compact"/>
            </w:pPr>
            <w:r>
              <w:t>Alta</w:t>
            </w:r>
          </w:p>
        </w:tc>
        <w:tc>
          <w:tcPr>
            <w:tcW w:w="0" w:type="auto"/>
          </w:tcPr>
          <w:p w14:paraId="1A72C0C2" w14:textId="77777777" w:rsidR="00085C05" w:rsidRDefault="00000000">
            <w:pPr>
              <w:pStyle w:val="Compact"/>
            </w:pPr>
            <w:r>
              <w:t>Muy alto</w:t>
            </w:r>
          </w:p>
        </w:tc>
        <w:tc>
          <w:tcPr>
            <w:tcW w:w="0" w:type="auto"/>
          </w:tcPr>
          <w:p w14:paraId="3F598188" w14:textId="77777777" w:rsidR="00085C05" w:rsidRDefault="00000000">
            <w:pPr>
              <w:pStyle w:val="Compact"/>
            </w:pPr>
            <w:r>
              <w:t>Potente pero tardío: exige madurez previa</w:t>
            </w:r>
          </w:p>
        </w:tc>
      </w:tr>
      <w:tr w:rsidR="00085C05" w14:paraId="5569C42C" w14:textId="77777777">
        <w:tc>
          <w:tcPr>
            <w:tcW w:w="0" w:type="auto"/>
          </w:tcPr>
          <w:p w14:paraId="75D575E6" w14:textId="77777777" w:rsidR="00085C05" w:rsidRDefault="00000000">
            <w:pPr>
              <w:pStyle w:val="Compact"/>
            </w:pPr>
            <w:r>
              <w:t>Gobernanza IA: procedencia por bloque y disclosure KDP automático</w:t>
            </w:r>
          </w:p>
        </w:tc>
        <w:tc>
          <w:tcPr>
            <w:tcW w:w="0" w:type="auto"/>
          </w:tcPr>
          <w:p w14:paraId="1918FD68" w14:textId="77777777" w:rsidR="00085C05" w:rsidRDefault="00000000">
            <w:pPr>
              <w:pStyle w:val="Compact"/>
            </w:pPr>
            <w:r>
              <w:t>3</w:t>
            </w:r>
          </w:p>
        </w:tc>
        <w:tc>
          <w:tcPr>
            <w:tcW w:w="0" w:type="auto"/>
          </w:tcPr>
          <w:p w14:paraId="6EBE3434" w14:textId="77777777" w:rsidR="00085C05" w:rsidRDefault="00000000">
            <w:pPr>
              <w:pStyle w:val="Compact"/>
            </w:pPr>
            <w:r>
              <w:t>Medio-alto</w:t>
            </w:r>
          </w:p>
        </w:tc>
        <w:tc>
          <w:tcPr>
            <w:tcW w:w="0" w:type="auto"/>
          </w:tcPr>
          <w:p w14:paraId="11E59C4A" w14:textId="77777777" w:rsidR="00085C05" w:rsidRDefault="00000000">
            <w:pPr>
              <w:pStyle w:val="Compact"/>
            </w:pPr>
            <w:r>
              <w:t>Muy alta</w:t>
            </w:r>
          </w:p>
        </w:tc>
        <w:tc>
          <w:tcPr>
            <w:tcW w:w="0" w:type="auto"/>
          </w:tcPr>
          <w:p w14:paraId="30A97DDA" w14:textId="77777777" w:rsidR="00085C05" w:rsidRDefault="00000000">
            <w:pPr>
              <w:pStyle w:val="Compact"/>
            </w:pPr>
            <w:r>
              <w:t>Medio</w:t>
            </w:r>
          </w:p>
        </w:tc>
        <w:tc>
          <w:tcPr>
            <w:tcW w:w="0" w:type="auto"/>
          </w:tcPr>
          <w:p w14:paraId="714DEC29" w14:textId="77777777" w:rsidR="00085C05" w:rsidRDefault="00000000">
            <w:pPr>
              <w:pStyle w:val="Compact"/>
            </w:pPr>
            <w:r>
              <w:t xml:space="preserve">Nadie lo ofrece; enforcement en aumento </w:t>
            </w:r>
            <w:r>
              <w:fldChar w:fldCharType="begin"/>
            </w:r>
            <w:r>
              <w:instrText>NOTEREF _Ref_Footnote_54 \h \f</w:instrText>
            </w:r>
            <w:r>
              <w:fldChar w:fldCharType="separate"/>
            </w:r>
            <w:r>
              <w:rPr>
                <w:vertAlign w:val="superscript"/>
              </w:rPr>
              <w:t>54</w:t>
            </w:r>
            <w:r>
              <w:fldChar w:fldCharType="end"/>
            </w:r>
          </w:p>
        </w:tc>
      </w:tr>
      <w:tr w:rsidR="00085C05" w14:paraId="6308764B" w14:textId="77777777">
        <w:tc>
          <w:tcPr>
            <w:tcW w:w="0" w:type="auto"/>
          </w:tcPr>
          <w:p w14:paraId="5597BFBF" w14:textId="77777777" w:rsidR="00085C05" w:rsidRDefault="00000000">
            <w:pPr>
              <w:pStyle w:val="Compact"/>
            </w:pPr>
            <w:r>
              <w:t>Integraciones de distribución (Gumroad, Hotmart, KDP)</w:t>
            </w:r>
          </w:p>
        </w:tc>
        <w:tc>
          <w:tcPr>
            <w:tcW w:w="0" w:type="auto"/>
          </w:tcPr>
          <w:p w14:paraId="39A3F494" w14:textId="77777777" w:rsidR="00085C05" w:rsidRDefault="00000000">
            <w:pPr>
              <w:pStyle w:val="Compact"/>
            </w:pPr>
            <w:r>
              <w:t>4</w:t>
            </w:r>
          </w:p>
        </w:tc>
        <w:tc>
          <w:tcPr>
            <w:tcW w:w="0" w:type="auto"/>
          </w:tcPr>
          <w:p w14:paraId="61EAA4B6" w14:textId="77777777" w:rsidR="00085C05" w:rsidRDefault="00000000">
            <w:pPr>
              <w:pStyle w:val="Compact"/>
            </w:pPr>
            <w:r>
              <w:t>Medio-alto</w:t>
            </w:r>
          </w:p>
        </w:tc>
        <w:tc>
          <w:tcPr>
            <w:tcW w:w="0" w:type="auto"/>
          </w:tcPr>
          <w:p w14:paraId="01BDB6E2" w14:textId="77777777" w:rsidR="00085C05" w:rsidRDefault="00000000">
            <w:pPr>
              <w:pStyle w:val="Compact"/>
            </w:pPr>
            <w:r>
              <w:t>Baja-media</w:t>
            </w:r>
          </w:p>
        </w:tc>
        <w:tc>
          <w:tcPr>
            <w:tcW w:w="0" w:type="auto"/>
          </w:tcPr>
          <w:p w14:paraId="661DAAA1" w14:textId="77777777" w:rsidR="00085C05" w:rsidRDefault="00000000">
            <w:pPr>
              <w:pStyle w:val="Compact"/>
            </w:pPr>
            <w:r>
              <w:t>Medio-alto</w:t>
            </w:r>
          </w:p>
        </w:tc>
        <w:tc>
          <w:tcPr>
            <w:tcW w:w="0" w:type="auto"/>
          </w:tcPr>
          <w:p w14:paraId="1B27DAFA" w14:textId="77777777" w:rsidR="00085C05" w:rsidRDefault="00000000">
            <w:pPr>
              <w:pStyle w:val="Compact"/>
            </w:pPr>
            <w:r>
              <w:t>Necesario, no diferencial sostenible</w:t>
            </w:r>
          </w:p>
        </w:tc>
      </w:tr>
      <w:tr w:rsidR="00085C05" w14:paraId="1E5A97F6" w14:textId="77777777">
        <w:tc>
          <w:tcPr>
            <w:tcW w:w="0" w:type="auto"/>
          </w:tcPr>
          <w:p w14:paraId="56AF1467" w14:textId="77777777" w:rsidR="00085C05" w:rsidRDefault="00000000">
            <w:pPr>
              <w:pStyle w:val="Compact"/>
            </w:pPr>
            <w:r>
              <w:t>Colaboración por roles y API/plugins de reglas</w:t>
            </w:r>
          </w:p>
        </w:tc>
        <w:tc>
          <w:tcPr>
            <w:tcW w:w="0" w:type="auto"/>
          </w:tcPr>
          <w:p w14:paraId="15AEA89C" w14:textId="77777777" w:rsidR="00085C05" w:rsidRDefault="00000000">
            <w:pPr>
              <w:pStyle w:val="Compact"/>
            </w:pPr>
            <w:r>
              <w:t>4</w:t>
            </w:r>
          </w:p>
        </w:tc>
        <w:tc>
          <w:tcPr>
            <w:tcW w:w="0" w:type="auto"/>
          </w:tcPr>
          <w:p w14:paraId="68871F71" w14:textId="77777777" w:rsidR="00085C05" w:rsidRDefault="00000000">
            <w:pPr>
              <w:pStyle w:val="Compact"/>
            </w:pPr>
            <w:r>
              <w:t>Alto</w:t>
            </w:r>
          </w:p>
        </w:tc>
        <w:tc>
          <w:tcPr>
            <w:tcW w:w="0" w:type="auto"/>
          </w:tcPr>
          <w:p w14:paraId="22CE29CA" w14:textId="77777777" w:rsidR="00085C05" w:rsidRDefault="00000000">
            <w:pPr>
              <w:pStyle w:val="Compact"/>
            </w:pPr>
            <w:r>
              <w:t>Alta</w:t>
            </w:r>
          </w:p>
        </w:tc>
        <w:tc>
          <w:tcPr>
            <w:tcW w:w="0" w:type="auto"/>
          </w:tcPr>
          <w:p w14:paraId="5A25E7E6" w14:textId="77777777" w:rsidR="00085C05" w:rsidRDefault="00000000">
            <w:pPr>
              <w:pStyle w:val="Compact"/>
            </w:pPr>
            <w:r>
              <w:t>Muy alto</w:t>
            </w:r>
          </w:p>
        </w:tc>
        <w:tc>
          <w:tcPr>
            <w:tcW w:w="0" w:type="auto"/>
          </w:tcPr>
          <w:p w14:paraId="7B3E4143" w14:textId="77777777" w:rsidR="00085C05" w:rsidRDefault="00000000">
            <w:pPr>
              <w:pStyle w:val="Compact"/>
            </w:pPr>
            <w:r>
              <w:t>Escala del foso, no su fundación</w:t>
            </w:r>
          </w:p>
        </w:tc>
      </w:tr>
    </w:tbl>
    <w:p w14:paraId="14846C25" w14:textId="77777777" w:rsidR="00085C05" w:rsidRDefault="00000000">
      <w:pPr>
        <w:pStyle w:val="BodyText"/>
      </w:pPr>
      <w:r>
        <w:t xml:space="preserve">La matriz explica por qué el plan no arranca por IA ni por plantillas, las líneas más visibles. Las iniciativas de Fase 0 concentran la mejor relación impacto/esfuerzo porque monetizan código ya pagado: el coste marginal es de empaquetado, no de construcción. EPUB lidera por una razón distinta: no puntúa alto en defendibilidad pero es binario —sin él, Anclora no es elegible para KDP ni para la mayoría de retailers, y el dolor de validación es bloqueante y universal </w:t>
      </w:r>
      <w:r>
        <w:fldChar w:fldCharType="begin"/>
      </w:r>
      <w:r>
        <w:instrText>NOTEREF _Ref_Footnote_12 \h \f</w:instrText>
      </w:r>
      <w:r>
        <w:fldChar w:fldCharType="separate"/>
      </w:r>
      <w:r>
        <w:rPr>
          <w:vertAlign w:val="superscript"/>
        </w:rPr>
        <w:t>12</w:t>
      </w:r>
      <w:r>
        <w:fldChar w:fldCharType="end"/>
      </w:r>
      <w:r>
        <w:t>. Las iniciativas de máxima defendibilidad (agentes de salud, gobernanza IA, historial sobre el AST) se posponen a Fases 2-3 porque exigen madurez previa del sistema que gobiernan: un agente que propone fixes solo es vendible cuando el panel de salud ya es creíble. Colaboración e integraciones cierran el plan no por falta de valor sino por menor defendibilidad aislada y máxima complejidad.</w:t>
      </w:r>
    </w:p>
    <w:p w14:paraId="37358EA0" w14:textId="77777777" w:rsidR="00085C05" w:rsidRDefault="00000000">
      <w:pPr>
        <w:pStyle w:val="Heading3"/>
      </w:pPr>
      <w:bookmarkStart w:id="161" w:name="Xcfd94e7a314b17c1dce0dd70c36f0272f4ade9f"/>
      <w:bookmarkEnd w:id="158"/>
      <w:bookmarkEnd w:id="160"/>
      <w:r>
        <w:t>4.2 Fase 0 — Productización del motor de composición (meses 1-2)</w:t>
      </w:r>
    </w:p>
    <w:p w14:paraId="1CAD5908" w14:textId="77777777" w:rsidR="00085C05" w:rsidRDefault="00000000">
      <w:pPr>
        <w:pStyle w:val="FirstParagraph"/>
      </w:pPr>
      <w:r>
        <w:t>Objetivo de negocio: convertir el activo técnico invisible en razón de compra y de activación. Todo lo que esta fase toca ya existe en el repo; el trabajo es de empaquetado, confiabilidad y medición, y desbloquea la credibilidad de todas las fases siguientes.</w:t>
      </w:r>
    </w:p>
    <w:p w14:paraId="413D57A1" w14:textId="77777777" w:rsidR="00085C05" w:rsidRDefault="00000000">
      <w:pPr>
        <w:pStyle w:val="Heading4"/>
      </w:pPr>
      <w:bookmarkStart w:id="162" w:name="X9c7b17d691730e8154bd722a54a88dd80d520a1"/>
      <w:r>
        <w:t>4.2.1 De reglas y violaciones a beneficios visibles</w:t>
      </w:r>
    </w:p>
    <w:p w14:paraId="69579F84" w14:textId="77777777" w:rsidR="00085C05" w:rsidRDefault="00000000">
      <w:pPr>
        <w:pStyle w:val="FirstParagraph"/>
      </w:pPr>
      <w:r>
        <w:t xml:space="preserve">El usuario medio no compra “motor de composición declarativa”; compra que su índice nunca vuelva a estar desactualizado. Tres piezas construyen el puente. Un onboarding guiado que lleva del DOCX importado al “momento nunca-más” en menos </w:t>
      </w:r>
      <w:r>
        <w:lastRenderedPageBreak/>
        <w:t xml:space="preserve">de diez minutos: importar, reordenar dos capítulos y ver cómo TOC, numeración y referencias se rehacen solos —el test de fuego que Typst formula como “mueve la sección 3 antes que la 1 y todo se renumera”, la demo que cualquier autor entiende en segundos </w:t>
      </w:r>
      <w:r>
        <w:rPr>
          <w:vertAlign w:val="superscript"/>
        </w:rPr>
        <w:footnoteReference w:id="125"/>
      </w:r>
      <w:r>
        <w:t xml:space="preserve">. Un rediseño narrado de los presets del </w:t>
      </w:r>
      <w:r>
        <w:rPr>
          <w:rStyle w:val="VerbatimChar"/>
        </w:rPr>
        <w:t>DocumentRulesPanel</w:t>
      </w:r>
      <w:r>
        <w:t xml:space="preserve"> (hoy default/print/digital </w:t>
      </w:r>
      <w:r>
        <w:fldChar w:fldCharType="begin"/>
      </w:r>
      <w:r>
        <w:instrText>NOTEREF _Ref_Footnote_1 \h \f</w:instrText>
      </w:r>
      <w:r>
        <w:fldChar w:fldCharType="separate"/>
      </w:r>
      <w:r>
        <w:t>1</w:t>
      </w:r>
      <w:r>
        <w:fldChar w:fldCharType="end"/>
      </w:r>
      <w:r>
        <w:t xml:space="preserve">) que traduzca keepTogether, viudas/huérfanas y página impar a beneficios redactados (“nunca más una tabla partida”). Y la elevación del </w:t>
      </w:r>
      <w:r>
        <w:rPr>
          <w:rStyle w:val="VerbatimChar"/>
        </w:rPr>
        <w:t>DocumentHealthPanel</w:t>
      </w:r>
      <w:r>
        <w:t xml:space="preserve"> a pieza de marketing: la validación PDF/UA de Typst 0.14 demuestra que “comprobar el documento contra reglas y reportar violaciones” es feature vendible, y Anclora es el único actor que la ofrece como panel editorial continuo </w:t>
      </w:r>
      <w:r>
        <w:rPr>
          <w:vertAlign w:val="superscript"/>
        </w:rPr>
        <w:footnoteReference w:id="126"/>
      </w:r>
      <w:r>
        <w:t>.</w:t>
      </w:r>
    </w:p>
    <w:p w14:paraId="618F7799" w14:textId="77777777" w:rsidR="00085C05" w:rsidRDefault="00000000">
      <w:pPr>
        <w:pStyle w:val="Heading4"/>
      </w:pPr>
      <w:bookmarkStart w:id="165" w:name="X2ce3148cf8737492449ec46360b08d13a7106ec"/>
      <w:bookmarkEnd w:id="162"/>
      <w:r>
        <w:t>4.2.2 Cerrar la deuda técnica que socava la promesa</w:t>
      </w:r>
    </w:p>
    <w:p w14:paraId="57EC10F5" w14:textId="77777777" w:rsidR="00085C05" w:rsidRDefault="00000000">
      <w:pPr>
        <w:pStyle w:val="FirstParagraph"/>
      </w:pPr>
      <w:r>
        <w:t xml:space="preserve">Tres cabos sueltos del propio repo deben cerrarse antes de vender el motor a cara descubierta. El undo para los diffs de recomposición, hoy descoped con un banner solo informativo </w:t>
      </w:r>
      <w:r>
        <w:fldChar w:fldCharType="begin"/>
      </w:r>
      <w:r>
        <w:instrText>NOTEREF _Ref_Footnote_1 \h \f</w:instrText>
      </w:r>
      <w:r>
        <w:fldChar w:fldCharType="separate"/>
      </w:r>
      <w:r>
        <w:t>1</w:t>
      </w:r>
      <w:r>
        <w:fldChar w:fldCharType="end"/>
      </w:r>
      <w:r>
        <w:t xml:space="preserve">: sin deshacer, el diff genera ansiedad en vez de confianza. Cover Studio leyendo íntegramente vía el modelo de documento —la sincronización portada↔metadatos del commit D.3 es parcial </w:t>
      </w:r>
      <w:r>
        <w:fldChar w:fldCharType="begin"/>
      </w:r>
      <w:r>
        <w:instrText>NOTEREF _Ref_Footnote_1 \h \f</w:instrText>
      </w:r>
      <w:r>
        <w:fldChar w:fldCharType="separate"/>
      </w:r>
      <w:r>
        <w:t>1</w:t>
      </w:r>
      <w:r>
        <w:fldChar w:fldCharType="end"/>
      </w:r>
      <w:r>
        <w:t xml:space="preserve">—, porque una portada desalineada contradice en una imagen la promesa de coherencia. Y tests de contrato ampliados sobre el pipeline importación→composición→exportación, extendiendo la suite Vitest/Playwright existente para que ninguna regresión rompa en silencio lo que el marketing promete en voz alta </w:t>
      </w:r>
      <w:r>
        <w:fldChar w:fldCharType="begin"/>
      </w:r>
      <w:r>
        <w:instrText>NOTEREF _Ref_Footnote_1 \h \f</w:instrText>
      </w:r>
      <w:r>
        <w:fldChar w:fldCharType="separate"/>
      </w:r>
      <w:r>
        <w:t>1</w:t>
      </w:r>
      <w:r>
        <w:fldChar w:fldCharType="end"/>
      </w:r>
      <w:r>
        <w:t>.</w:t>
      </w:r>
    </w:p>
    <w:p w14:paraId="165361D2" w14:textId="77777777" w:rsidR="00085C05" w:rsidRDefault="00000000">
      <w:pPr>
        <w:pStyle w:val="Heading4"/>
      </w:pPr>
      <w:bookmarkStart w:id="166" w:name="X958bd2efac8eaa07427226bab56ed0114ff2b43"/>
      <w:bookmarkEnd w:id="165"/>
      <w:r>
        <w:t>4.2.3 Estabilidad como feature: hardening y telemetría de recomposición</w:t>
      </w:r>
    </w:p>
    <w:p w14:paraId="17DC6E76" w14:textId="77777777" w:rsidR="00085C05" w:rsidRDefault="00000000">
      <w:pPr>
        <w:pStyle w:val="FirstParagraph"/>
      </w:pPr>
      <w:r>
        <w:t xml:space="preserve">Las quejas dominantes de las webapps de composición del mercado son inestabilidad e importación sucia: usuarios de Designrr que pierden trabajo al congelarse páginas, el bug de páginas en blanco de Atticus reportado por alrededor del 29% de usuarios en agregados de Reddit, importaciones que “won’t recognize headings” y llegan como “a jumbled mess” </w:t>
      </w:r>
      <w:r>
        <w:fldChar w:fldCharType="begin"/>
      </w:r>
      <w:r>
        <w:instrText>NOTEREF _Ref_Footnote_101 \h \f</w:instrText>
      </w:r>
      <w:r>
        <w:fldChar w:fldCharType="separate"/>
      </w:r>
      <w:r>
        <w:rPr>
          <w:vertAlign w:val="superscript"/>
        </w:rPr>
        <w:t>101</w:t>
      </w:r>
      <w:r>
        <w:fldChar w:fldCharType="end"/>
      </w:r>
      <w:r>
        <w:t xml:space="preserve"> </w:t>
      </w:r>
      <w:r>
        <w:rPr>
          <w:vertAlign w:val="superscript"/>
        </w:rPr>
        <w:footnoteReference w:id="127"/>
      </w:r>
      <w:r>
        <w:t xml:space="preserve"> </w:t>
      </w:r>
      <w:r>
        <w:fldChar w:fldCharType="begin"/>
      </w:r>
      <w:r>
        <w:instrText>NOTEREF _Ref_Footnote_102 \h \f</w:instrText>
      </w:r>
      <w:r>
        <w:fldChar w:fldCharType="separate"/>
      </w:r>
      <w:r>
        <w:rPr>
          <w:vertAlign w:val="superscript"/>
        </w:rPr>
        <w:t>102</w:t>
      </w:r>
      <w:r>
        <w:fldChar w:fldCharType="end"/>
      </w:r>
      <w:r>
        <w:t xml:space="preserve">. La Fase 0 ejecuta hardening de la importación sobre un corpus de DOCX reales y despliega telemetría del presupuesto de recomposición &lt;300 ms que el motor ya se autoimpone </w:t>
      </w:r>
      <w:r>
        <w:fldChar w:fldCharType="begin"/>
      </w:r>
      <w:r>
        <w:instrText>NOTEREF _Ref_Footnote_1 \h \f</w:instrText>
      </w:r>
      <w:r>
        <w:fldChar w:fldCharType="separate"/>
      </w:r>
      <w:r>
        <w:t>1</w:t>
      </w:r>
      <w:r>
        <w:fldChar w:fldCharType="end"/>
      </w:r>
      <w:r>
        <w:t xml:space="preserve">: medir el p95 en producción convierte un claim en compromiso. El contexto refuerza la apuesta: el mejor precedente público, Typst con años de ingeniería en Rust, mide ~600 ms incrementales en una tesis y ~15 s en un libro de 2.500 páginas </w:t>
      </w:r>
      <w:r>
        <w:rPr>
          <w:vertAlign w:val="superscript"/>
        </w:rPr>
        <w:footnoteReference w:id="128"/>
      </w:r>
      <w:r>
        <w:t>; si Anclora sostiene su presupuesto en libros completos, la velocidad pasa a ser argumento de venta cuantificado.</w:t>
      </w:r>
    </w:p>
    <w:p w14:paraId="7E866F0B" w14:textId="77777777" w:rsidR="00085C05" w:rsidRDefault="00000000">
      <w:pPr>
        <w:pStyle w:val="BodyText"/>
      </w:pPr>
      <w:r>
        <w:rPr>
          <w:b/>
          <w:bCs/>
        </w:rPr>
        <w:t>Tabla 2. Fase 0: entregables, anclaje en el repo y criterios de salida</w:t>
      </w:r>
    </w:p>
    <w:tbl>
      <w:tblPr>
        <w:tblStyle w:val="Table"/>
        <w:tblW w:w="5000" w:type="pct"/>
        <w:tblLook w:val="0020" w:firstRow="1" w:lastRow="0" w:firstColumn="0" w:lastColumn="0" w:noHBand="0" w:noVBand="0"/>
      </w:tblPr>
      <w:tblGrid>
        <w:gridCol w:w="1710"/>
        <w:gridCol w:w="2534"/>
        <w:gridCol w:w="2881"/>
        <w:gridCol w:w="1929"/>
      </w:tblGrid>
      <w:tr w:rsidR="00085C05" w14:paraId="40C1DF54"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065EF275" w14:textId="77777777" w:rsidR="00085C05" w:rsidRDefault="00000000">
            <w:pPr>
              <w:pStyle w:val="Compact"/>
            </w:pPr>
            <w:r>
              <w:t>Entregable</w:t>
            </w:r>
          </w:p>
        </w:tc>
        <w:tc>
          <w:tcPr>
            <w:tcW w:w="0" w:type="auto"/>
          </w:tcPr>
          <w:p w14:paraId="038836EB" w14:textId="77777777" w:rsidR="00085C05" w:rsidRDefault="00000000">
            <w:pPr>
              <w:pStyle w:val="Compact"/>
            </w:pPr>
            <w:r>
              <w:t>Componente/área del repo</w:t>
            </w:r>
          </w:p>
        </w:tc>
        <w:tc>
          <w:tcPr>
            <w:tcW w:w="0" w:type="auto"/>
          </w:tcPr>
          <w:p w14:paraId="1BAF82A1" w14:textId="77777777" w:rsidR="00085C05" w:rsidRDefault="00000000">
            <w:pPr>
              <w:pStyle w:val="Compact"/>
            </w:pPr>
            <w:r>
              <w:t>Criterio de salida medible</w:t>
            </w:r>
          </w:p>
        </w:tc>
        <w:tc>
          <w:tcPr>
            <w:tcW w:w="0" w:type="auto"/>
          </w:tcPr>
          <w:p w14:paraId="3733293D" w14:textId="77777777" w:rsidR="00085C05" w:rsidRDefault="00000000">
            <w:pPr>
              <w:pStyle w:val="Compact"/>
            </w:pPr>
            <w:r>
              <w:t>Evidencia que lo justifica</w:t>
            </w:r>
          </w:p>
        </w:tc>
      </w:tr>
      <w:tr w:rsidR="00085C05" w14:paraId="21FC4D97" w14:textId="77777777">
        <w:tc>
          <w:tcPr>
            <w:tcW w:w="0" w:type="auto"/>
          </w:tcPr>
          <w:p w14:paraId="68A16F02" w14:textId="77777777" w:rsidR="00085C05" w:rsidRDefault="00000000">
            <w:pPr>
              <w:pStyle w:val="Compact"/>
            </w:pPr>
            <w:r>
              <w:t>Onboarding guiado con “momento nunca-más”</w:t>
            </w:r>
          </w:p>
        </w:tc>
        <w:tc>
          <w:tcPr>
            <w:tcW w:w="0" w:type="auto"/>
          </w:tcPr>
          <w:p w14:paraId="142C833C" w14:textId="77777777" w:rsidR="00085C05" w:rsidRDefault="00000000">
            <w:pPr>
              <w:pStyle w:val="Compact"/>
            </w:pPr>
            <w:r>
              <w:rPr>
                <w:rStyle w:val="VerbatimChar"/>
              </w:rPr>
              <w:t>DocumentImporter</w:t>
            </w:r>
            <w:r>
              <w:t xml:space="preserve">, preview, </w:t>
            </w:r>
            <w:r>
              <w:rPr>
                <w:rStyle w:val="VerbatimChar"/>
              </w:rPr>
              <w:t>ChapterOrganizer</w:t>
            </w:r>
          </w:p>
        </w:tc>
        <w:tc>
          <w:tcPr>
            <w:tcW w:w="0" w:type="auto"/>
          </w:tcPr>
          <w:p w14:paraId="0AB350AB" w14:textId="77777777" w:rsidR="00085C05" w:rsidRDefault="00000000">
            <w:pPr>
              <w:pStyle w:val="Compact"/>
            </w:pPr>
            <w:r>
              <w:t>≥60% de usuarios nuevos completan importación + recomposición en &lt;10 min</w:t>
            </w:r>
          </w:p>
        </w:tc>
        <w:tc>
          <w:tcPr>
            <w:tcW w:w="0" w:type="auto"/>
          </w:tcPr>
          <w:p w14:paraId="1C2A689F" w14:textId="77777777" w:rsidR="00085C05" w:rsidRDefault="00000000">
            <w:pPr>
              <w:pStyle w:val="Compact"/>
            </w:pPr>
            <w:r>
              <w:t xml:space="preserve">Demo de renumeración automática como prueba universal </w:t>
            </w:r>
            <w:r>
              <w:fldChar w:fldCharType="begin"/>
            </w:r>
            <w:r>
              <w:instrText>NOTEREF _Ref_Footnote_48 \h \f</w:instrText>
            </w:r>
            <w:r>
              <w:fldChar w:fldCharType="separate"/>
            </w:r>
            <w:r>
              <w:rPr>
                <w:vertAlign w:val="superscript"/>
              </w:rPr>
              <w:t>48</w:t>
            </w:r>
            <w:r>
              <w:fldChar w:fldCharType="end"/>
            </w:r>
          </w:p>
        </w:tc>
      </w:tr>
      <w:tr w:rsidR="00085C05" w14:paraId="3DCE5C8A" w14:textId="77777777">
        <w:tc>
          <w:tcPr>
            <w:tcW w:w="0" w:type="auto"/>
          </w:tcPr>
          <w:p w14:paraId="67396BAD" w14:textId="77777777" w:rsidR="00085C05" w:rsidRDefault="00000000">
            <w:pPr>
              <w:pStyle w:val="Compact"/>
            </w:pPr>
            <w:r>
              <w:t>Presets narrados de reglas</w:t>
            </w:r>
          </w:p>
        </w:tc>
        <w:tc>
          <w:tcPr>
            <w:tcW w:w="0" w:type="auto"/>
          </w:tcPr>
          <w:p w14:paraId="20E4B32D" w14:textId="77777777" w:rsidR="00085C05" w:rsidRDefault="00000000">
            <w:pPr>
              <w:pStyle w:val="Compact"/>
            </w:pPr>
            <w:r>
              <w:rPr>
                <w:rStyle w:val="VerbatimChar"/>
              </w:rPr>
              <w:t>DocumentRulesPanel</w:t>
            </w:r>
          </w:p>
        </w:tc>
        <w:tc>
          <w:tcPr>
            <w:tcW w:w="0" w:type="auto"/>
          </w:tcPr>
          <w:p w14:paraId="00BA8B56" w14:textId="77777777" w:rsidR="00085C05" w:rsidRDefault="00000000">
            <w:pPr>
              <w:pStyle w:val="Compact"/>
            </w:pPr>
            <w:r>
              <w:t>Presets reformulados como beneficios; test de comprensión con ≥10 usuarios no técnicos</w:t>
            </w:r>
          </w:p>
        </w:tc>
        <w:tc>
          <w:tcPr>
            <w:tcW w:w="0" w:type="auto"/>
          </w:tcPr>
          <w:p w14:paraId="0F800862" w14:textId="77777777" w:rsidR="00085C05" w:rsidRDefault="00000000">
            <w:pPr>
              <w:pStyle w:val="Compact"/>
            </w:pPr>
            <w:r>
              <w:t xml:space="preserve">Dolores top-3: maquetación, TOC, revisiones </w:t>
            </w:r>
            <w:r>
              <w:fldChar w:fldCharType="begin"/>
            </w:r>
            <w:r>
              <w:instrText>NOTEREF _Ref_Footnote_97 \h \f</w:instrText>
            </w:r>
            <w:r>
              <w:fldChar w:fldCharType="separate"/>
            </w:r>
            <w:r>
              <w:rPr>
                <w:vertAlign w:val="superscript"/>
              </w:rPr>
              <w:t>97</w:t>
            </w:r>
            <w:r>
              <w:fldChar w:fldCharType="end"/>
            </w:r>
          </w:p>
        </w:tc>
      </w:tr>
      <w:tr w:rsidR="00085C05" w14:paraId="503F36D5" w14:textId="77777777">
        <w:tc>
          <w:tcPr>
            <w:tcW w:w="0" w:type="auto"/>
          </w:tcPr>
          <w:p w14:paraId="30C0DD4F" w14:textId="77777777" w:rsidR="00085C05" w:rsidRDefault="00000000">
            <w:pPr>
              <w:pStyle w:val="Compact"/>
            </w:pPr>
            <w:r>
              <w:t>Marketing del panel de salud y export gate</w:t>
            </w:r>
          </w:p>
        </w:tc>
        <w:tc>
          <w:tcPr>
            <w:tcW w:w="0" w:type="auto"/>
          </w:tcPr>
          <w:p w14:paraId="71F6E049" w14:textId="77777777" w:rsidR="00085C05" w:rsidRDefault="00000000">
            <w:pPr>
              <w:pStyle w:val="Compact"/>
            </w:pPr>
            <w:r>
              <w:rPr>
                <w:rStyle w:val="VerbatimChar"/>
              </w:rPr>
              <w:t>DocumentHealthPanel</w:t>
            </w:r>
            <w:r>
              <w:t>, export gate</w:t>
            </w:r>
          </w:p>
        </w:tc>
        <w:tc>
          <w:tcPr>
            <w:tcW w:w="0" w:type="auto"/>
          </w:tcPr>
          <w:p w14:paraId="27074064" w14:textId="77777777" w:rsidR="00085C05" w:rsidRDefault="00000000">
            <w:pPr>
              <w:pStyle w:val="Compact"/>
            </w:pPr>
            <w:r>
              <w:t xml:space="preserve">Panel citado en landing; gate </w:t>
            </w:r>
            <w:r>
              <w:rPr>
                <w:rStyle w:val="VerbatimChar"/>
              </w:rPr>
              <w:t>warn</w:t>
            </w:r>
            <w:r>
              <w:t xml:space="preserve"> por defecto documentado</w:t>
            </w:r>
          </w:p>
        </w:tc>
        <w:tc>
          <w:tcPr>
            <w:tcW w:w="0" w:type="auto"/>
          </w:tcPr>
          <w:p w14:paraId="5C3DF725" w14:textId="77777777" w:rsidR="00085C05" w:rsidRDefault="00000000">
            <w:pPr>
              <w:pStyle w:val="Compact"/>
            </w:pPr>
            <w:r>
              <w:t xml:space="preserve">Validación de reglas como feature vendible (PDF/UA) </w:t>
            </w:r>
            <w:r>
              <w:fldChar w:fldCharType="begin"/>
            </w:r>
            <w:r>
              <w:instrText>NOTEREF _Ref_Footnote_127 \h \f</w:instrText>
            </w:r>
            <w:r>
              <w:fldChar w:fldCharType="separate"/>
            </w:r>
            <w:r>
              <w:rPr>
                <w:vertAlign w:val="superscript"/>
              </w:rPr>
              <w:t>127</w:t>
            </w:r>
            <w:r>
              <w:fldChar w:fldCharType="end"/>
            </w:r>
          </w:p>
        </w:tc>
      </w:tr>
      <w:tr w:rsidR="00085C05" w14:paraId="5CAE6280" w14:textId="77777777">
        <w:tc>
          <w:tcPr>
            <w:tcW w:w="0" w:type="auto"/>
          </w:tcPr>
          <w:p w14:paraId="242774E7" w14:textId="77777777" w:rsidR="00085C05" w:rsidRDefault="00000000">
            <w:pPr>
              <w:pStyle w:val="Compact"/>
            </w:pPr>
            <w:r>
              <w:t>Undo de diffs de recomposición</w:t>
            </w:r>
          </w:p>
        </w:tc>
        <w:tc>
          <w:tcPr>
            <w:tcW w:w="0" w:type="auto"/>
          </w:tcPr>
          <w:p w14:paraId="18BC8E7F" w14:textId="77777777" w:rsidR="00085C05" w:rsidRDefault="00000000">
            <w:pPr>
              <w:pStyle w:val="Compact"/>
            </w:pPr>
            <w:r>
              <w:t>Compose engine, live-preview</w:t>
            </w:r>
          </w:p>
        </w:tc>
        <w:tc>
          <w:tcPr>
            <w:tcW w:w="0" w:type="auto"/>
          </w:tcPr>
          <w:p w14:paraId="14B36A0B" w14:textId="77777777" w:rsidR="00085C05" w:rsidRDefault="00000000">
            <w:pPr>
              <w:pStyle w:val="Compact"/>
            </w:pPr>
            <w:r>
              <w:t>Undo funcional con test e2e en Playwright</w:t>
            </w:r>
          </w:p>
        </w:tc>
        <w:tc>
          <w:tcPr>
            <w:tcW w:w="0" w:type="auto"/>
          </w:tcPr>
          <w:p w14:paraId="41F7DB8C" w14:textId="77777777" w:rsidR="00085C05" w:rsidRDefault="00000000">
            <w:pPr>
              <w:pStyle w:val="Compact"/>
            </w:pPr>
            <w:r>
              <w:t xml:space="preserve">Descope actual con banner informativo </w:t>
            </w:r>
            <w:r>
              <w:fldChar w:fldCharType="begin"/>
            </w:r>
            <w:r>
              <w:instrText>NOTEREF _Ref_Footnote_1 \h \f</w:instrText>
            </w:r>
            <w:r>
              <w:fldChar w:fldCharType="separate"/>
            </w:r>
            <w:r>
              <w:t>1</w:t>
            </w:r>
            <w:r>
              <w:fldChar w:fldCharType="end"/>
            </w:r>
          </w:p>
        </w:tc>
      </w:tr>
      <w:tr w:rsidR="00085C05" w14:paraId="6C4B8737" w14:textId="77777777">
        <w:tc>
          <w:tcPr>
            <w:tcW w:w="0" w:type="auto"/>
          </w:tcPr>
          <w:p w14:paraId="29059DC5" w14:textId="77777777" w:rsidR="00085C05" w:rsidRDefault="00000000">
            <w:pPr>
              <w:pStyle w:val="Compact"/>
            </w:pPr>
            <w:r>
              <w:t>Cover Studio vía modelo de documento</w:t>
            </w:r>
          </w:p>
        </w:tc>
        <w:tc>
          <w:tcPr>
            <w:tcW w:w="0" w:type="auto"/>
          </w:tcPr>
          <w:p w14:paraId="57825D2A" w14:textId="77777777" w:rsidR="00085C05" w:rsidRDefault="00000000">
            <w:pPr>
              <w:pStyle w:val="Compact"/>
            </w:pPr>
            <w:r>
              <w:t>Cover Studio, metadatos de producto</w:t>
            </w:r>
          </w:p>
        </w:tc>
        <w:tc>
          <w:tcPr>
            <w:tcW w:w="0" w:type="auto"/>
          </w:tcPr>
          <w:p w14:paraId="3F3D02DA" w14:textId="77777777" w:rsidR="00085C05" w:rsidRDefault="00000000">
            <w:pPr>
              <w:pStyle w:val="Compact"/>
            </w:pPr>
            <w:r>
              <w:t>Sincronización bidireccional completa portada↔metadatos</w:t>
            </w:r>
          </w:p>
        </w:tc>
        <w:tc>
          <w:tcPr>
            <w:tcW w:w="0" w:type="auto"/>
          </w:tcPr>
          <w:p w14:paraId="22A342EF" w14:textId="77777777" w:rsidR="00085C05" w:rsidRDefault="00000000">
            <w:pPr>
              <w:pStyle w:val="Compact"/>
            </w:pPr>
            <w:r>
              <w:t xml:space="preserve">Sync parcial en commit D.3 </w:t>
            </w:r>
            <w:r>
              <w:fldChar w:fldCharType="begin"/>
            </w:r>
            <w:r>
              <w:instrText>NOTEREF _Ref_Footnote_1 \h \f</w:instrText>
            </w:r>
            <w:r>
              <w:fldChar w:fldCharType="separate"/>
            </w:r>
            <w:r>
              <w:t>1</w:t>
            </w:r>
            <w:r>
              <w:fldChar w:fldCharType="end"/>
            </w:r>
          </w:p>
        </w:tc>
      </w:tr>
      <w:tr w:rsidR="00085C05" w14:paraId="202BD85C" w14:textId="77777777">
        <w:tc>
          <w:tcPr>
            <w:tcW w:w="0" w:type="auto"/>
          </w:tcPr>
          <w:p w14:paraId="288F3242" w14:textId="77777777" w:rsidR="00085C05" w:rsidRDefault="00000000">
            <w:pPr>
              <w:pStyle w:val="Compact"/>
            </w:pPr>
            <w:r>
              <w:t>Tests de contrato del pipeline</w:t>
            </w:r>
          </w:p>
        </w:tc>
        <w:tc>
          <w:tcPr>
            <w:tcW w:w="0" w:type="auto"/>
          </w:tcPr>
          <w:p w14:paraId="1887C966" w14:textId="77777777" w:rsidR="00085C05" w:rsidRDefault="00000000">
            <w:pPr>
              <w:pStyle w:val="Compact"/>
            </w:pPr>
            <w:r>
              <w:t>Suite Vitest/Playwright</w:t>
            </w:r>
          </w:p>
        </w:tc>
        <w:tc>
          <w:tcPr>
            <w:tcW w:w="0" w:type="auto"/>
          </w:tcPr>
          <w:p w14:paraId="2C46031B" w14:textId="77777777" w:rsidR="00085C05" w:rsidRDefault="00000000">
            <w:pPr>
              <w:pStyle w:val="Compact"/>
            </w:pPr>
            <w:r>
              <w:t>Contratos de import→compose→export en CI; 0 regresiones abiertas</w:t>
            </w:r>
          </w:p>
        </w:tc>
        <w:tc>
          <w:tcPr>
            <w:tcW w:w="0" w:type="auto"/>
          </w:tcPr>
          <w:p w14:paraId="14F1ED5D" w14:textId="77777777" w:rsidR="00085C05" w:rsidRDefault="00000000">
            <w:pPr>
              <w:pStyle w:val="Compact"/>
            </w:pPr>
            <w:r>
              <w:t xml:space="preserve">Disciplina CI existente (~483 tests) </w:t>
            </w:r>
            <w:r>
              <w:fldChar w:fldCharType="begin"/>
            </w:r>
            <w:r>
              <w:instrText>NOTEREF _Ref_Footnote_1 \h \f</w:instrText>
            </w:r>
            <w:r>
              <w:fldChar w:fldCharType="separate"/>
            </w:r>
            <w:r>
              <w:t>1</w:t>
            </w:r>
            <w:r>
              <w:fldChar w:fldCharType="end"/>
            </w:r>
          </w:p>
        </w:tc>
      </w:tr>
      <w:tr w:rsidR="00085C05" w14:paraId="4A7074F2" w14:textId="77777777">
        <w:tc>
          <w:tcPr>
            <w:tcW w:w="0" w:type="auto"/>
          </w:tcPr>
          <w:p w14:paraId="4D181784" w14:textId="77777777" w:rsidR="00085C05" w:rsidRDefault="00000000">
            <w:pPr>
              <w:pStyle w:val="Compact"/>
            </w:pPr>
            <w:r>
              <w:t>Hardening de importación y telemetría</w:t>
            </w:r>
          </w:p>
        </w:tc>
        <w:tc>
          <w:tcPr>
            <w:tcW w:w="0" w:type="auto"/>
          </w:tcPr>
          <w:p w14:paraId="304AF17B" w14:textId="77777777" w:rsidR="00085C05" w:rsidRDefault="00000000">
            <w:pPr>
              <w:pStyle w:val="Compact"/>
            </w:pPr>
            <w:r>
              <w:t>Pipeline import/compose</w:t>
            </w:r>
          </w:p>
        </w:tc>
        <w:tc>
          <w:tcPr>
            <w:tcW w:w="0" w:type="auto"/>
          </w:tcPr>
          <w:p w14:paraId="461EBCF2" w14:textId="77777777" w:rsidR="00085C05" w:rsidRDefault="00000000">
            <w:pPr>
              <w:pStyle w:val="Compact"/>
            </w:pPr>
            <w:r>
              <w:t>p95 de recomposición &lt;300 ms en producción; corpus de 50 DOCX sin fallos críticos</w:t>
            </w:r>
          </w:p>
        </w:tc>
        <w:tc>
          <w:tcPr>
            <w:tcW w:w="0" w:type="auto"/>
          </w:tcPr>
          <w:p w14:paraId="244371C6" w14:textId="77777777" w:rsidR="00085C05" w:rsidRDefault="00000000">
            <w:pPr>
              <w:pStyle w:val="Compact"/>
            </w:pPr>
            <w:r>
              <w:t xml:space="preserve">Inestabilidad como queja nº1 de Atticus/Designrr </w:t>
            </w:r>
            <w:r>
              <w:fldChar w:fldCharType="begin"/>
            </w:r>
            <w:r>
              <w:instrText>NOTEREF _Ref_Footnote_101 \h \f</w:instrText>
            </w:r>
            <w:r>
              <w:fldChar w:fldCharType="separate"/>
            </w:r>
            <w:r>
              <w:rPr>
                <w:vertAlign w:val="superscript"/>
              </w:rPr>
              <w:t>101</w:t>
            </w:r>
            <w:r>
              <w:fldChar w:fldCharType="end"/>
            </w:r>
            <w:r>
              <w:t xml:space="preserve"> </w:t>
            </w:r>
            <w:r>
              <w:fldChar w:fldCharType="begin"/>
            </w:r>
            <w:r>
              <w:instrText>NOTEREF _Ref_Footnote_127 \h \f</w:instrText>
            </w:r>
            <w:r>
              <w:fldChar w:fldCharType="separate"/>
            </w:r>
            <w:r>
              <w:rPr>
                <w:vertAlign w:val="superscript"/>
              </w:rPr>
              <w:t>127</w:t>
            </w:r>
            <w:r>
              <w:fldChar w:fldCharType="end"/>
            </w:r>
            <w:r>
              <w:t xml:space="preserve">; benchmark Typst </w:t>
            </w:r>
            <w:r>
              <w:fldChar w:fldCharType="begin"/>
            </w:r>
            <w:r>
              <w:instrText>NOTEREF _Ref_Footnote_128 \h \f</w:instrText>
            </w:r>
            <w:r>
              <w:fldChar w:fldCharType="separate"/>
            </w:r>
            <w:r>
              <w:rPr>
                <w:vertAlign w:val="superscript"/>
              </w:rPr>
              <w:t>128</w:t>
            </w:r>
            <w:r>
              <w:fldChar w:fldCharType="end"/>
            </w:r>
          </w:p>
        </w:tc>
      </w:tr>
    </w:tbl>
    <w:p w14:paraId="574354B5" w14:textId="77777777" w:rsidR="00085C05" w:rsidRDefault="00000000">
      <w:pPr>
        <w:pStyle w:val="BodyText"/>
      </w:pPr>
      <w:r>
        <w:t>La tabla mezcla deliberadamente producto y deuda de ingeniería, y esa mezcla es el punto: en Fase 0 no hay distinción económica entre ambas. Un undo ausente o una importación que pierde estructura son defectos de marketing tanto como de código, porque desmienten la promesa central en el primer contacto. Los criterios de salida se formulan sobre activación y confianza —tiempo hasta el momento nunca-más, comprensión de presets, p95 de recomposición— y no sobre número de funcionalidades. El riesgo es de alcance: la tentación de refactorizar el motor debe rechazarse, porque cada semana añadida retrasa la elegibilidad EPUB, donde el plan empieza a tocar ingresos. Esfuerzo estimado: 4-6 persona-mes.</w:t>
      </w:r>
    </w:p>
    <w:p w14:paraId="4D159A11" w14:textId="77777777" w:rsidR="00085C05" w:rsidRDefault="00000000">
      <w:pPr>
        <w:pStyle w:val="Heading3"/>
      </w:pPr>
      <w:bookmarkStart w:id="169" w:name="X8aa7063339e2ee3fa2439b4c70d0076a0a2c8f6"/>
      <w:bookmarkEnd w:id="161"/>
      <w:bookmarkEnd w:id="166"/>
      <w:r>
        <w:t>4.3 Fase 1 — EPUB y pre-flight de publicación por canal (meses 2-4)</w:t>
      </w:r>
    </w:p>
    <w:p w14:paraId="50C450BF" w14:textId="77777777" w:rsidR="00085C05" w:rsidRDefault="00000000">
      <w:pPr>
        <w:pStyle w:val="FirstParagraph"/>
      </w:pPr>
      <w:r>
        <w:t>Objetivo de negocio: elegibilidad. Sin EPUB válido, Anclora no entra en el canal que concentra la venta de ebooks; con él, ataca el dolor bloqueante número uno de la distribución y convierte el panel de salud en una categoría que ningún competidor ofrece.</w:t>
      </w:r>
    </w:p>
    <w:p w14:paraId="165A8FAC" w14:textId="77777777" w:rsidR="00085C05" w:rsidRDefault="00000000">
      <w:pPr>
        <w:pStyle w:val="Heading4"/>
      </w:pPr>
      <w:bookmarkStart w:id="170" w:name="X05eb0ae153a075c109519ce439b9708d5b11ec1"/>
      <w:r>
        <w:t>4.3.1 Export EPUB 3 válido desde el modelo semántico</w:t>
      </w:r>
    </w:p>
    <w:p w14:paraId="2B467C9F" w14:textId="77777777" w:rsidR="00085C05" w:rsidRDefault="00000000">
      <w:pPr>
        <w:pStyle w:val="FirstParagraph"/>
      </w:pPr>
      <w:r>
        <w:t xml:space="preserve">KDP acepta hoy DOCX, EPUB o KPF para ebook; MOBI está descontinuado para reflowable y, desde el 18 de marzo de 2025, también para fixed-layout </w:t>
      </w:r>
      <w:r>
        <w:fldChar w:fldCharType="begin"/>
      </w:r>
      <w:r>
        <w:instrText>NOTEREF _Ref_Footnote_78 \h \f</w:instrText>
      </w:r>
      <w:r>
        <w:fldChar w:fldCharType="separate"/>
      </w:r>
      <w:r>
        <w:rPr>
          <w:vertAlign w:val="superscript"/>
        </w:rPr>
        <w:t>78</w:t>
      </w:r>
      <w:r>
        <w:fldChar w:fldCharType="end"/>
      </w:r>
      <w:r>
        <w:t xml:space="preserve"> </w:t>
      </w:r>
      <w:r>
        <w:fldChar w:fldCharType="begin"/>
      </w:r>
      <w:r>
        <w:instrText>NOTEREF _Ref_Footnote_32 \h \f</w:instrText>
      </w:r>
      <w:r>
        <w:fldChar w:fldCharType="separate"/>
      </w:r>
      <w:r>
        <w:rPr>
          <w:vertAlign w:val="superscript"/>
        </w:rPr>
        <w:t>32</w:t>
      </w:r>
      <w:r>
        <w:fldChar w:fldCharType="end"/>
      </w:r>
      <w:r>
        <w:t xml:space="preserve">. EPUB es el formato universal de entrada al retail —KDP, Kobo, Apple, agregadores como Draft2Digital </w:t>
      </w:r>
      <w:r>
        <w:rPr>
          <w:vertAlign w:val="superscript"/>
        </w:rPr>
        <w:footnoteReference w:id="129"/>
      </w:r>
      <w:r>
        <w:t xml:space="preserve"> </w:t>
      </w:r>
      <w:r>
        <w:fldChar w:fldCharType="begin"/>
      </w:r>
      <w:r>
        <w:instrText>NOTEREF _Ref_Footnote_80 \h \f</w:instrText>
      </w:r>
      <w:r>
        <w:fldChar w:fldCharType="separate"/>
      </w:r>
      <w:r>
        <w:rPr>
          <w:vertAlign w:val="superscript"/>
        </w:rPr>
        <w:t>80</w:t>
      </w:r>
      <w:r>
        <w:fldChar w:fldCharType="end"/>
      </w:r>
      <w:r>
        <w:t xml:space="preserve">— y su validación es el filtro que más libros rechaza: KDP ejecuta EPUBCheck en cada subida y PKG-026 (MIME de fuentes) es la causa individual más frecuente de rechazo en Apple Books, Kobo y agregadores </w:t>
      </w:r>
      <w:r>
        <w:fldChar w:fldCharType="begin"/>
      </w:r>
      <w:r>
        <w:instrText>NOTEREF _Ref_Footnote_12 \h \f</w:instrText>
      </w:r>
      <w:r>
        <w:fldChar w:fldCharType="separate"/>
      </w:r>
      <w:r>
        <w:rPr>
          <w:vertAlign w:val="superscript"/>
        </w:rPr>
        <w:t>12</w:t>
      </w:r>
      <w:r>
        <w:fldChar w:fldCharType="end"/>
      </w:r>
      <w:r>
        <w:t xml:space="preserve"> </w:t>
      </w:r>
      <w:r>
        <w:fldChar w:fldCharType="begin"/>
      </w:r>
      <w:r>
        <w:instrText>NOTEREF _Ref_Footnote_60 \h \f</w:instrText>
      </w:r>
      <w:r>
        <w:fldChar w:fldCharType="separate"/>
      </w:r>
      <w:r>
        <w:rPr>
          <w:vertAlign w:val="superscript"/>
        </w:rPr>
        <w:t>60</w:t>
      </w:r>
      <w:r>
        <w:fldChar w:fldCharType="end"/>
      </w:r>
      <w:r>
        <w:t xml:space="preserve">. La arquitectura de Anclora está preparada: el modelo semántico ya separa contenido de presentación y la exportación PDF/DOCX/HTML ya consume el motor </w:t>
      </w:r>
      <w:r>
        <w:fldChar w:fldCharType="begin"/>
      </w:r>
      <w:r>
        <w:instrText>NOTEREF _Ref_Footnote_1 \h \f</w:instrText>
      </w:r>
      <w:r>
        <w:fldChar w:fldCharType="separate"/>
      </w:r>
      <w:r>
        <w:t>1</w:t>
      </w:r>
      <w:r>
        <w:fldChar w:fldCharType="end"/>
      </w:r>
      <w:r>
        <w:t xml:space="preserve">, de modo que EPUB es un writer más sobre el AST —la lección de quince años de Pandoc, que convirtió un problema de N² conversores en 2N readers/writers </w:t>
      </w:r>
      <w:r>
        <w:rPr>
          <w:vertAlign w:val="superscript"/>
        </w:rPr>
        <w:footnoteReference w:id="130"/>
      </w:r>
      <w:r>
        <w:t xml:space="preserve">. La condición no negociable es EPUBCheck en CI con bloqueo de export inválido: la regresión de pandoc 3.1.12 que rompió la validación demuestra que incluso herramientas maduras fallan en silencio, y el híbrido EPUB2/3 que Atticus exporta muestra que el listón competitivo es bajo </w:t>
      </w:r>
      <w:r>
        <w:fldChar w:fldCharType="begin"/>
      </w:r>
      <w:r>
        <w:instrText>NOTEREF _Ref_Footnote_105 \h \f</w:instrText>
      </w:r>
      <w:r>
        <w:fldChar w:fldCharType="separate"/>
      </w:r>
      <w:r>
        <w:rPr>
          <w:vertAlign w:val="superscript"/>
        </w:rPr>
        <w:t>105</w:t>
      </w:r>
      <w:r>
        <w:fldChar w:fldCharType="end"/>
      </w:r>
      <w:r>
        <w:t xml:space="preserve"> </w:t>
      </w:r>
      <w:r>
        <w:fldChar w:fldCharType="begin"/>
      </w:r>
      <w:r>
        <w:instrText>NOTEREF _Ref_Footnote_12 \h \f</w:instrText>
      </w:r>
      <w:r>
        <w:fldChar w:fldCharType="separate"/>
      </w:r>
      <w:r>
        <w:rPr>
          <w:vertAlign w:val="superscript"/>
        </w:rPr>
        <w:t>12</w:t>
      </w:r>
      <w:r>
        <w:fldChar w:fldCharType="end"/>
      </w:r>
      <w:r>
        <w:t>.</w:t>
      </w:r>
    </w:p>
    <w:p w14:paraId="4A27B002" w14:textId="77777777" w:rsidR="00085C05" w:rsidRDefault="00000000">
      <w:pPr>
        <w:pStyle w:val="Heading4"/>
      </w:pPr>
      <w:bookmarkStart w:id="173" w:name="X7bf6d9bff5f3b502c9076a82e158a32564e182d"/>
      <w:bookmarkEnd w:id="170"/>
      <w:r>
        <w:t>4.3.2 Validador pre-publicación por canal como extensión del health panel</w:t>
      </w:r>
    </w:p>
    <w:p w14:paraId="6F982B2B" w14:textId="77777777" w:rsidR="00085C05" w:rsidRDefault="00000000">
      <w:pPr>
        <w:pStyle w:val="FirstParagraph"/>
      </w:pPr>
      <w:r>
        <w:t xml:space="preserve">El paso diferencial no es exportar EPUB —eso está comoditizado— sino validar contra las reglas de cada canal antes de subir. El </w:t>
      </w:r>
      <w:r>
        <w:rPr>
          <w:rStyle w:val="VerbatimChar"/>
        </w:rPr>
        <w:t>DocumentHealthPanel</w:t>
      </w:r>
      <w:r>
        <w:t xml:space="preserve"> evoluciona de salud tipográfica a publicabilidad: checklist por canal (KDP, IngramSpark, Kobo) con pass/fail sobre EPUBCheck, TOC NCX/NAV consistente, PKG-026, resolución de imágenes, metadatos y enlaces internos —cuya rotura silenciosa en Atticus KDP traga pero IngramSpark rechaza </w:t>
      </w:r>
      <w:r>
        <w:fldChar w:fldCharType="begin"/>
      </w:r>
      <w:r>
        <w:instrText>NOTEREF _Ref_Footnote_99 \h \f</w:instrText>
      </w:r>
      <w:r>
        <w:fldChar w:fldCharType="separate"/>
      </w:r>
      <w:r>
        <w:rPr>
          <w:vertAlign w:val="superscript"/>
        </w:rPr>
        <w:t>99</w:t>
      </w:r>
      <w:r>
        <w:fldChar w:fldCharType="end"/>
      </w:r>
      <w:r>
        <w:t xml:space="preserve"> </w:t>
      </w:r>
      <w:r>
        <w:fldChar w:fldCharType="begin"/>
      </w:r>
      <w:r>
        <w:instrText>NOTEREF _Ref_Footnote_96 \h \f</w:instrText>
      </w:r>
      <w:r>
        <w:fldChar w:fldCharType="separate"/>
      </w:r>
      <w:r>
        <w:rPr>
          <w:vertAlign w:val="superscript"/>
        </w:rPr>
        <w:t>96</w:t>
      </w:r>
      <w:r>
        <w:fldChar w:fldCharType="end"/>
      </w:r>
      <w:r>
        <w:t xml:space="preserve">. Se añade accesibilidad (alt text obligatorio, language tagging), requisito creciente de bibliotecas y retail que casi ninguna herramienta de autor facilita </w:t>
      </w:r>
      <w:r>
        <w:rPr>
          <w:vertAlign w:val="superscript"/>
        </w:rPr>
        <w:footnoteReference w:id="131"/>
      </w:r>
      <w:r>
        <w:t xml:space="preserve">. La demanda está verbalizada: los autores dependen de validadores externos, Kindle Previewer y servicios que cobran desde £69 por “arreglar el EPUB que KDP rechazó” </w:t>
      </w:r>
      <w:r>
        <w:fldChar w:fldCharType="begin"/>
      </w:r>
      <w:r>
        <w:instrText>NOTEREF _Ref_Footnote_104 \h \f</w:instrText>
      </w:r>
      <w:r>
        <w:fldChar w:fldCharType="separate"/>
      </w:r>
      <w:r>
        <w:rPr>
          <w:vertAlign w:val="superscript"/>
        </w:rPr>
        <w:t>104</w:t>
      </w:r>
      <w:r>
        <w:fldChar w:fldCharType="end"/>
      </w:r>
      <w:r>
        <w:t xml:space="preserve"> </w:t>
      </w:r>
      <w:r>
        <w:rPr>
          <w:vertAlign w:val="superscript"/>
        </w:rPr>
        <w:footnoteReference w:id="132"/>
      </w:r>
      <w:r>
        <w:t>; integrar esa validación donde se escribe es la feature request que el mercado lleva años pidiendo sin respuesta.</w:t>
      </w:r>
    </w:p>
    <w:p w14:paraId="3BBD06C9" w14:textId="77777777" w:rsidR="00085C05" w:rsidRDefault="00000000">
      <w:pPr>
        <w:pStyle w:val="Heading4"/>
      </w:pPr>
      <w:bookmarkStart w:id="176" w:name="X26e59c9d7baf445e4339988b14c1dc519b1f6f1"/>
      <w:bookmarkEnd w:id="173"/>
      <w:r>
        <w:t>4.3.3 PDF print-ready con especificaciones de imprenta</w:t>
      </w:r>
    </w:p>
    <w:p w14:paraId="5DBA11BA" w14:textId="77777777" w:rsidR="00085C05" w:rsidRDefault="00000000">
      <w:pPr>
        <w:pStyle w:val="FirstParagraph"/>
      </w:pPr>
      <w:r>
        <w:t xml:space="preserve">El segundo entregable monta sobre reglas existentes: trim size, sangrados, márgenes de encuadernación y perfiles son una extensión del preset print y de las reglas de página impar ya implementadas </w:t>
      </w:r>
      <w:r>
        <w:fldChar w:fldCharType="begin"/>
      </w:r>
      <w:r>
        <w:instrText>NOTEREF _Ref_Footnote_1 \h \f</w:instrText>
      </w:r>
      <w:r>
        <w:fldChar w:fldCharType="separate"/>
      </w:r>
      <w:r>
        <w:t>1</w:t>
      </w:r>
      <w:r>
        <w:fldChar w:fldCharType="end"/>
      </w:r>
      <w:r>
        <w:t xml:space="preserve">, y Leanpub demuestra que el “PDF print-ready con un clic” es vendible dentro del mismo pipeline que el ebook </w:t>
      </w:r>
      <w:r>
        <w:fldChar w:fldCharType="begin"/>
      </w:r>
      <w:r>
        <w:instrText>NOTEREF _Ref_Footnote_62 \h \f</w:instrText>
      </w:r>
      <w:r>
        <w:fldChar w:fldCharType="separate"/>
      </w:r>
      <w:r>
        <w:rPr>
          <w:vertAlign w:val="superscript"/>
        </w:rPr>
        <w:t>62</w:t>
      </w:r>
      <w:r>
        <w:fldChar w:fldCharType="end"/>
      </w:r>
      <w:r>
        <w:t xml:space="preserve">. La decisión arquitectónica crítica es la matriz regla×formato: como advierte Pandoc, toda representación intermedia es menos expresiva que algún formato de destino —EPUB y HTML no tienen página impar ni viudas— y la respuesta sana es documentar qué reglas aplican a cada formato en lugar de prometer una paridad imposible que llenaría el panel de violaciones falsas </w:t>
      </w:r>
      <w:r>
        <w:fldChar w:fldCharType="begin"/>
      </w:r>
      <w:r>
        <w:instrText>NOTEREF _Ref_Footnote_130 \h \f</w:instrText>
      </w:r>
      <w:r>
        <w:fldChar w:fldCharType="separate"/>
      </w:r>
      <w:r>
        <w:rPr>
          <w:vertAlign w:val="superscript"/>
        </w:rPr>
        <w:t>130</w:t>
      </w:r>
      <w:r>
        <w:fldChar w:fldCharType="end"/>
      </w:r>
      <w:r>
        <w:t>. Sobre la cadena técnica, los precedentes aconsejan mantener el motor propio como fundación: las primitivas que el export necesita (</w:t>
      </w:r>
      <w:r>
        <w:rPr>
          <w:rStyle w:val="VerbatimChar"/>
        </w:rPr>
        <w:t>target-counter</w:t>
      </w:r>
      <w:r>
        <w:t xml:space="preserve">, running headers, </w:t>
      </w:r>
      <w:r>
        <w:rPr>
          <w:rStyle w:val="VerbatimChar"/>
        </w:rPr>
        <w:t>leader()</w:t>
      </w:r>
      <w:r>
        <w:t xml:space="preserve">) no existen nativas en navegadores, Paged.js está semi-mantenido y Vivliostyle es AGPL v3, incompatible con un SaaS propietario </w:t>
      </w:r>
      <w:r>
        <w:rPr>
          <w:vertAlign w:val="superscript"/>
        </w:rPr>
        <w:footnoteReference w:id="133"/>
      </w:r>
      <w:r>
        <w:t xml:space="preserve"> </w:t>
      </w:r>
      <w:r>
        <w:rPr>
          <w:vertAlign w:val="superscript"/>
        </w:rPr>
        <w:footnoteReference w:id="134"/>
      </w:r>
      <w:r>
        <w:t xml:space="preserve"> </w:t>
      </w:r>
      <w:r>
        <w:rPr>
          <w:vertAlign w:val="superscript"/>
        </w:rPr>
        <w:footnoteReference w:id="135"/>
      </w:r>
      <w:r>
        <w:t xml:space="preserve"> </w:t>
      </w:r>
      <w:r>
        <w:rPr>
          <w:vertAlign w:val="superscript"/>
        </w:rPr>
        <w:footnoteReference w:id="136"/>
      </w:r>
      <w:r>
        <w:t>.</w:t>
      </w:r>
    </w:p>
    <w:p w14:paraId="4646FC10" w14:textId="77777777" w:rsidR="00085C05" w:rsidRDefault="00000000">
      <w:pPr>
        <w:pStyle w:val="BodyText"/>
      </w:pPr>
      <w:r>
        <w:rPr>
          <w:b/>
          <w:bCs/>
        </w:rPr>
        <w:t>Tabla 3. Fase 1: entregables, anclaje en el repo y criterios de salida</w:t>
      </w:r>
    </w:p>
    <w:tbl>
      <w:tblPr>
        <w:tblStyle w:val="Table"/>
        <w:tblW w:w="5000" w:type="pct"/>
        <w:tblLook w:val="0020" w:firstRow="1" w:lastRow="0" w:firstColumn="0" w:lastColumn="0" w:noHBand="0" w:noVBand="0"/>
      </w:tblPr>
      <w:tblGrid>
        <w:gridCol w:w="1897"/>
        <w:gridCol w:w="2779"/>
        <w:gridCol w:w="1986"/>
        <w:gridCol w:w="2392"/>
      </w:tblGrid>
      <w:tr w:rsidR="00085C05" w14:paraId="7E03E82B"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2C40D671" w14:textId="77777777" w:rsidR="00085C05" w:rsidRDefault="00000000">
            <w:pPr>
              <w:pStyle w:val="Compact"/>
            </w:pPr>
            <w:r>
              <w:t>Entregable</w:t>
            </w:r>
          </w:p>
        </w:tc>
        <w:tc>
          <w:tcPr>
            <w:tcW w:w="0" w:type="auto"/>
          </w:tcPr>
          <w:p w14:paraId="4E6F84B7" w14:textId="77777777" w:rsidR="00085C05" w:rsidRDefault="00000000">
            <w:pPr>
              <w:pStyle w:val="Compact"/>
            </w:pPr>
            <w:r>
              <w:t>Componente/área del repo</w:t>
            </w:r>
          </w:p>
        </w:tc>
        <w:tc>
          <w:tcPr>
            <w:tcW w:w="0" w:type="auto"/>
          </w:tcPr>
          <w:p w14:paraId="27434E41" w14:textId="77777777" w:rsidR="00085C05" w:rsidRDefault="00000000">
            <w:pPr>
              <w:pStyle w:val="Compact"/>
            </w:pPr>
            <w:r>
              <w:t>Criterio de salida medible</w:t>
            </w:r>
          </w:p>
        </w:tc>
        <w:tc>
          <w:tcPr>
            <w:tcW w:w="0" w:type="auto"/>
          </w:tcPr>
          <w:p w14:paraId="5C1DCB0F" w14:textId="77777777" w:rsidR="00085C05" w:rsidRDefault="00000000">
            <w:pPr>
              <w:pStyle w:val="Compact"/>
            </w:pPr>
            <w:r>
              <w:t>Evidencia que lo justifica</w:t>
            </w:r>
          </w:p>
        </w:tc>
      </w:tr>
      <w:tr w:rsidR="00085C05" w14:paraId="0F9BFBFA" w14:textId="77777777">
        <w:tc>
          <w:tcPr>
            <w:tcW w:w="0" w:type="auto"/>
          </w:tcPr>
          <w:p w14:paraId="76EEC522" w14:textId="77777777" w:rsidR="00085C05" w:rsidRDefault="00000000">
            <w:pPr>
              <w:pStyle w:val="Compact"/>
            </w:pPr>
            <w:r>
              <w:t>Export EPUB 3 válido</w:t>
            </w:r>
          </w:p>
        </w:tc>
        <w:tc>
          <w:tcPr>
            <w:tcW w:w="0" w:type="auto"/>
          </w:tcPr>
          <w:p w14:paraId="410DB1F2" w14:textId="77777777" w:rsidR="00085C05" w:rsidRDefault="00000000">
            <w:pPr>
              <w:pStyle w:val="Compact"/>
            </w:pPr>
            <w:r>
              <w:t xml:space="preserve">export-builder / compose engine / </w:t>
            </w:r>
            <w:r>
              <w:rPr>
                <w:rStyle w:val="VerbatimChar"/>
              </w:rPr>
              <w:t>ExportJob</w:t>
            </w:r>
          </w:p>
        </w:tc>
        <w:tc>
          <w:tcPr>
            <w:tcW w:w="0" w:type="auto"/>
          </w:tcPr>
          <w:p w14:paraId="45706FD9" w14:textId="77777777" w:rsidR="00085C05" w:rsidRDefault="00000000">
            <w:pPr>
              <w:pStyle w:val="Compact"/>
            </w:pPr>
            <w:r>
              <w:t>100% de exports pasan EPUBCheck 5.x sin FATAL ni ERROR</w:t>
            </w:r>
          </w:p>
        </w:tc>
        <w:tc>
          <w:tcPr>
            <w:tcW w:w="0" w:type="auto"/>
          </w:tcPr>
          <w:p w14:paraId="057FB6FF" w14:textId="77777777" w:rsidR="00085C05" w:rsidRDefault="00000000">
            <w:pPr>
              <w:pStyle w:val="Compact"/>
            </w:pPr>
            <w:r>
              <w:t xml:space="preserve">MOBI muerto 18-03-2025; KDP valida en cada subida </w:t>
            </w:r>
            <w:r>
              <w:fldChar w:fldCharType="begin"/>
            </w:r>
            <w:r>
              <w:instrText>NOTEREF _Ref_Footnote_32 \h \f</w:instrText>
            </w:r>
            <w:r>
              <w:fldChar w:fldCharType="separate"/>
            </w:r>
            <w:r>
              <w:rPr>
                <w:vertAlign w:val="superscript"/>
              </w:rPr>
              <w:t>32</w:t>
            </w:r>
            <w:r>
              <w:fldChar w:fldCharType="end"/>
            </w:r>
            <w:r>
              <w:t xml:space="preserve"> </w:t>
            </w:r>
            <w:r>
              <w:fldChar w:fldCharType="begin"/>
            </w:r>
            <w:r>
              <w:instrText>NOTEREF _Ref_Footnote_12 \h \f</w:instrText>
            </w:r>
            <w:r>
              <w:fldChar w:fldCharType="separate"/>
            </w:r>
            <w:r>
              <w:rPr>
                <w:vertAlign w:val="superscript"/>
              </w:rPr>
              <w:t>12</w:t>
            </w:r>
            <w:r>
              <w:fldChar w:fldCharType="end"/>
            </w:r>
          </w:p>
        </w:tc>
      </w:tr>
      <w:tr w:rsidR="00085C05" w14:paraId="650AD6E6" w14:textId="77777777">
        <w:tc>
          <w:tcPr>
            <w:tcW w:w="0" w:type="auto"/>
          </w:tcPr>
          <w:p w14:paraId="6E1E6728" w14:textId="77777777" w:rsidR="00085C05" w:rsidRDefault="00000000">
            <w:pPr>
              <w:pStyle w:val="Compact"/>
            </w:pPr>
            <w:r>
              <w:t>EPUBCheck en CI</w:t>
            </w:r>
          </w:p>
        </w:tc>
        <w:tc>
          <w:tcPr>
            <w:tcW w:w="0" w:type="auto"/>
          </w:tcPr>
          <w:p w14:paraId="1F68525C" w14:textId="77777777" w:rsidR="00085C05" w:rsidRDefault="00000000">
            <w:pPr>
              <w:pStyle w:val="Compact"/>
            </w:pPr>
            <w:r>
              <w:t>Pipeline de exportación</w:t>
            </w:r>
          </w:p>
        </w:tc>
        <w:tc>
          <w:tcPr>
            <w:tcW w:w="0" w:type="auto"/>
          </w:tcPr>
          <w:p w14:paraId="002C4B66" w14:textId="77777777" w:rsidR="00085C05" w:rsidRDefault="00000000">
            <w:pPr>
              <w:pStyle w:val="Compact"/>
            </w:pPr>
            <w:r>
              <w:t>Bloqueo automático de export inválido; suite de regresión</w:t>
            </w:r>
          </w:p>
        </w:tc>
        <w:tc>
          <w:tcPr>
            <w:tcW w:w="0" w:type="auto"/>
          </w:tcPr>
          <w:p w14:paraId="3E552F78" w14:textId="77777777" w:rsidR="00085C05" w:rsidRDefault="00000000">
            <w:pPr>
              <w:pStyle w:val="Compact"/>
            </w:pPr>
            <w:r>
              <w:t xml:space="preserve">Regresión de pandoc 3.1.12; híbrido EPUB2/3 de Atticus </w:t>
            </w:r>
            <w:r>
              <w:fldChar w:fldCharType="begin"/>
            </w:r>
            <w:r>
              <w:instrText>NOTEREF _Ref_Footnote_105 \h \f</w:instrText>
            </w:r>
            <w:r>
              <w:fldChar w:fldCharType="separate"/>
            </w:r>
            <w:r>
              <w:rPr>
                <w:vertAlign w:val="superscript"/>
              </w:rPr>
              <w:t>105</w:t>
            </w:r>
            <w:r>
              <w:fldChar w:fldCharType="end"/>
            </w:r>
            <w:r>
              <w:t xml:space="preserve"> </w:t>
            </w:r>
            <w:r>
              <w:fldChar w:fldCharType="begin"/>
            </w:r>
            <w:r>
              <w:instrText>NOTEREF _Ref_Footnote_12 \h \f</w:instrText>
            </w:r>
            <w:r>
              <w:fldChar w:fldCharType="separate"/>
            </w:r>
            <w:r>
              <w:rPr>
                <w:vertAlign w:val="superscript"/>
              </w:rPr>
              <w:t>12</w:t>
            </w:r>
            <w:r>
              <w:fldChar w:fldCharType="end"/>
            </w:r>
          </w:p>
        </w:tc>
      </w:tr>
      <w:tr w:rsidR="00085C05" w14:paraId="4F077065" w14:textId="77777777">
        <w:tc>
          <w:tcPr>
            <w:tcW w:w="0" w:type="auto"/>
          </w:tcPr>
          <w:p w14:paraId="6BE328A4" w14:textId="77777777" w:rsidR="00085C05" w:rsidRDefault="00000000">
            <w:pPr>
              <w:pStyle w:val="Compact"/>
            </w:pPr>
            <w:r>
              <w:t>Pre-flight por canal (KDP, IngramSpark, Kobo)</w:t>
            </w:r>
          </w:p>
        </w:tc>
        <w:tc>
          <w:tcPr>
            <w:tcW w:w="0" w:type="auto"/>
          </w:tcPr>
          <w:p w14:paraId="049B1BC9" w14:textId="77777777" w:rsidR="00085C05" w:rsidRDefault="00000000">
            <w:pPr>
              <w:pStyle w:val="Compact"/>
            </w:pPr>
            <w:r>
              <w:rPr>
                <w:rStyle w:val="VerbatimChar"/>
              </w:rPr>
              <w:t>DocumentHealthPanel</w:t>
            </w:r>
            <w:r>
              <w:t xml:space="preserve"> + reglas por canal</w:t>
            </w:r>
          </w:p>
        </w:tc>
        <w:tc>
          <w:tcPr>
            <w:tcW w:w="0" w:type="auto"/>
          </w:tcPr>
          <w:p w14:paraId="4D859967" w14:textId="77777777" w:rsidR="00085C05" w:rsidRDefault="00000000">
            <w:pPr>
              <w:pStyle w:val="Compact"/>
            </w:pPr>
            <w:r>
              <w:t>Checklist por canal con pass/fail previo al export</w:t>
            </w:r>
          </w:p>
        </w:tc>
        <w:tc>
          <w:tcPr>
            <w:tcW w:w="0" w:type="auto"/>
          </w:tcPr>
          <w:p w14:paraId="195AE4C7" w14:textId="77777777" w:rsidR="00085C05" w:rsidRDefault="00000000">
            <w:pPr>
              <w:pStyle w:val="Compact"/>
            </w:pPr>
            <w:r>
              <w:t xml:space="preserve">PKG-026 como causa nº1 de rechazo; enlaces rotos en IngramSpark </w:t>
            </w:r>
            <w:r>
              <w:fldChar w:fldCharType="begin"/>
            </w:r>
            <w:r>
              <w:instrText>NOTEREF _Ref_Footnote_60 \h \f</w:instrText>
            </w:r>
            <w:r>
              <w:fldChar w:fldCharType="separate"/>
            </w:r>
            <w:r>
              <w:rPr>
                <w:vertAlign w:val="superscript"/>
              </w:rPr>
              <w:t>60</w:t>
            </w:r>
            <w:r>
              <w:fldChar w:fldCharType="end"/>
            </w:r>
            <w:r>
              <w:t xml:space="preserve"> </w:t>
            </w:r>
            <w:r>
              <w:fldChar w:fldCharType="begin"/>
            </w:r>
            <w:r>
              <w:instrText>NOTEREF _Ref_Footnote_99 \h \f</w:instrText>
            </w:r>
            <w:r>
              <w:fldChar w:fldCharType="separate"/>
            </w:r>
            <w:r>
              <w:rPr>
                <w:vertAlign w:val="superscript"/>
              </w:rPr>
              <w:t>99</w:t>
            </w:r>
            <w:r>
              <w:fldChar w:fldCharType="end"/>
            </w:r>
          </w:p>
        </w:tc>
      </w:tr>
      <w:tr w:rsidR="00085C05" w14:paraId="4CE61405" w14:textId="77777777">
        <w:tc>
          <w:tcPr>
            <w:tcW w:w="0" w:type="auto"/>
          </w:tcPr>
          <w:p w14:paraId="6B6FC52E" w14:textId="77777777" w:rsidR="00085C05" w:rsidRDefault="00000000">
            <w:pPr>
              <w:pStyle w:val="Compact"/>
            </w:pPr>
            <w:r>
              <w:t>Metadatos y accesibilidad</w:t>
            </w:r>
          </w:p>
        </w:tc>
        <w:tc>
          <w:tcPr>
            <w:tcW w:w="0" w:type="auto"/>
          </w:tcPr>
          <w:p w14:paraId="39EC6488" w14:textId="77777777" w:rsidR="00085C05" w:rsidRDefault="00000000">
            <w:pPr>
              <w:pStyle w:val="Compact"/>
            </w:pPr>
            <w:r>
              <w:rPr>
                <w:rStyle w:val="VerbatimChar"/>
              </w:rPr>
              <w:t>ProductMetadataPanel</w:t>
            </w:r>
          </w:p>
        </w:tc>
        <w:tc>
          <w:tcPr>
            <w:tcW w:w="0" w:type="auto"/>
          </w:tcPr>
          <w:p w14:paraId="3CD981C2" w14:textId="77777777" w:rsidR="00085C05" w:rsidRDefault="00000000">
            <w:pPr>
              <w:pStyle w:val="Compact"/>
            </w:pPr>
            <w:r>
              <w:t>Alt text obligatorio; language tagging verificado</w:t>
            </w:r>
          </w:p>
        </w:tc>
        <w:tc>
          <w:tcPr>
            <w:tcW w:w="0" w:type="auto"/>
          </w:tcPr>
          <w:p w14:paraId="7F53CCD5" w14:textId="77777777" w:rsidR="00085C05" w:rsidRDefault="00000000">
            <w:pPr>
              <w:pStyle w:val="Compact"/>
            </w:pPr>
            <w:r>
              <w:t xml:space="preserve">Requisito de bibliotecas/retail, resuelto a mano hoy </w:t>
            </w:r>
            <w:r>
              <w:fldChar w:fldCharType="begin"/>
            </w:r>
            <w:r>
              <w:instrText>NOTEREF _Ref_Footnote_131 \h \f</w:instrText>
            </w:r>
            <w:r>
              <w:fldChar w:fldCharType="separate"/>
            </w:r>
            <w:r>
              <w:rPr>
                <w:vertAlign w:val="superscript"/>
              </w:rPr>
              <w:t>131</w:t>
            </w:r>
            <w:r>
              <w:fldChar w:fldCharType="end"/>
            </w:r>
          </w:p>
        </w:tc>
      </w:tr>
      <w:tr w:rsidR="00085C05" w14:paraId="71189FC8" w14:textId="77777777">
        <w:tc>
          <w:tcPr>
            <w:tcW w:w="0" w:type="auto"/>
          </w:tcPr>
          <w:p w14:paraId="319ADB69" w14:textId="77777777" w:rsidR="00085C05" w:rsidRDefault="00000000">
            <w:pPr>
              <w:pStyle w:val="Compact"/>
            </w:pPr>
            <w:r>
              <w:t>PDF print-ready (trim, sangrado, perfiles)</w:t>
            </w:r>
          </w:p>
        </w:tc>
        <w:tc>
          <w:tcPr>
            <w:tcW w:w="0" w:type="auto"/>
          </w:tcPr>
          <w:p w14:paraId="1CE00B96" w14:textId="77777777" w:rsidR="00085C05" w:rsidRDefault="00000000">
            <w:pPr>
              <w:pStyle w:val="Compact"/>
            </w:pPr>
            <w:r>
              <w:t>Compose engine, preset print</w:t>
            </w:r>
          </w:p>
        </w:tc>
        <w:tc>
          <w:tcPr>
            <w:tcW w:w="0" w:type="auto"/>
          </w:tcPr>
          <w:p w14:paraId="5A29350F" w14:textId="77777777" w:rsidR="00085C05" w:rsidRDefault="00000000">
            <w:pPr>
              <w:pStyle w:val="Compact"/>
            </w:pPr>
            <w:r>
              <w:t>PDF/X validado para KDP print e IngramSpark</w:t>
            </w:r>
          </w:p>
        </w:tc>
        <w:tc>
          <w:tcPr>
            <w:tcW w:w="0" w:type="auto"/>
          </w:tcPr>
          <w:p w14:paraId="79E569CC" w14:textId="77777777" w:rsidR="00085C05" w:rsidRDefault="00000000">
            <w:pPr>
              <w:pStyle w:val="Compact"/>
            </w:pPr>
            <w:r>
              <w:t xml:space="preserve">“Print-ready con un clic” vendible (Leanpub) </w:t>
            </w:r>
            <w:r>
              <w:fldChar w:fldCharType="begin"/>
            </w:r>
            <w:r>
              <w:instrText>NOTEREF _Ref_Footnote_62 \h \f</w:instrText>
            </w:r>
            <w:r>
              <w:fldChar w:fldCharType="separate"/>
            </w:r>
            <w:r>
              <w:rPr>
                <w:vertAlign w:val="superscript"/>
              </w:rPr>
              <w:t>62</w:t>
            </w:r>
            <w:r>
              <w:fldChar w:fldCharType="end"/>
            </w:r>
          </w:p>
        </w:tc>
      </w:tr>
      <w:tr w:rsidR="00085C05" w14:paraId="5CBB8104" w14:textId="77777777">
        <w:tc>
          <w:tcPr>
            <w:tcW w:w="0" w:type="auto"/>
          </w:tcPr>
          <w:p w14:paraId="58B6B26B" w14:textId="77777777" w:rsidR="00085C05" w:rsidRDefault="00000000">
            <w:pPr>
              <w:pStyle w:val="Compact"/>
            </w:pPr>
            <w:r>
              <w:t>Matriz regla×formato publicada</w:t>
            </w:r>
          </w:p>
        </w:tc>
        <w:tc>
          <w:tcPr>
            <w:tcW w:w="0" w:type="auto"/>
          </w:tcPr>
          <w:p w14:paraId="73E788F6" w14:textId="77777777" w:rsidR="00085C05" w:rsidRDefault="00000000">
            <w:pPr>
              <w:pStyle w:val="Compact"/>
            </w:pPr>
            <w:r>
              <w:rPr>
                <w:rStyle w:val="VerbatimChar"/>
              </w:rPr>
              <w:t>sdd/composition-engine.md</w:t>
            </w:r>
          </w:p>
        </w:tc>
        <w:tc>
          <w:tcPr>
            <w:tcW w:w="0" w:type="auto"/>
          </w:tcPr>
          <w:p w14:paraId="147E3A42" w14:textId="77777777" w:rsidR="00085C05" w:rsidRDefault="00000000">
            <w:pPr>
              <w:pStyle w:val="Compact"/>
            </w:pPr>
            <w:r>
              <w:t>Tabla pública de regla×formato integrada en el panel</w:t>
            </w:r>
          </w:p>
        </w:tc>
        <w:tc>
          <w:tcPr>
            <w:tcW w:w="0" w:type="auto"/>
          </w:tcPr>
          <w:p w14:paraId="498DB73D" w14:textId="77777777" w:rsidR="00085C05" w:rsidRDefault="00000000">
            <w:pPr>
              <w:pStyle w:val="Compact"/>
            </w:pPr>
            <w:r>
              <w:t xml:space="preserve">Pérdida por formato documentada en Pandoc </w:t>
            </w:r>
            <w:r>
              <w:fldChar w:fldCharType="begin"/>
            </w:r>
            <w:r>
              <w:instrText>NOTEREF _Ref_Footnote_130 \h \f</w:instrText>
            </w:r>
            <w:r>
              <w:fldChar w:fldCharType="separate"/>
            </w:r>
            <w:r>
              <w:rPr>
                <w:vertAlign w:val="superscript"/>
              </w:rPr>
              <w:t>130</w:t>
            </w:r>
            <w:r>
              <w:fldChar w:fldCharType="end"/>
            </w:r>
          </w:p>
        </w:tc>
      </w:tr>
    </w:tbl>
    <w:p w14:paraId="205158D6" w14:textId="77777777" w:rsidR="00085C05" w:rsidRDefault="00000000">
      <w:pPr>
        <w:pStyle w:val="BodyText"/>
      </w:pPr>
      <w:r>
        <w:t>El patrón de la tabla es que Fase 1 no añade un formato más: convierte la exportación en un sistema de garantías. Cada criterio de salida es verificable por máquina (EPUBCheck en CI, PDF/X validado), lo que alinea ingeniería y marketing sobre la misma fuente de verdad —“publica sin rechazos” deja de ser eslogan y pasa a ser un test. La dependencia con Fase 0 es real: lanzar EPUB sobre un pipeline inestable multiplicaría el coste de soporte en el momento de máxima exposición, de ahí que el hardening sea prerequisito go/no-go. El outlier es la matriz regla×formato, aparentemente documental pero estratégica: evita que el panel se degrade a ruido cuando convivan formatos con físicas distintas y permitirá en Fase 2 que cada plantilla declare su comportamiento por formato. Esfuerzo estimado: 6-8 persona-mes.</w:t>
      </w:r>
    </w:p>
    <w:p w14:paraId="6BC9D02C" w14:textId="77777777" w:rsidR="00085C05" w:rsidRDefault="00000000">
      <w:pPr>
        <w:pStyle w:val="Heading3"/>
      </w:pPr>
      <w:bookmarkStart w:id="181" w:name="X63badef3f4ff3362958e2be449fb9abe7757d6a"/>
      <w:bookmarkEnd w:id="169"/>
      <w:bookmarkEnd w:id="176"/>
      <w:r>
        <w:t>4.4 Fase 2 — Plantillas de producto digital compuesto y export multi-formato (meses 4-8)</w:t>
      </w:r>
    </w:p>
    <w:p w14:paraId="38441E4C" w14:textId="77777777" w:rsidR="00085C05" w:rsidRDefault="00000000">
      <w:pPr>
        <w:pStyle w:val="FirstParagraph"/>
      </w:pPr>
      <w:r>
        <w:t xml:space="preserve">Objetivo de negocio: aumentar el valor por cuenta transformando el “proyecto” en “producto digital compuesto”. El cliente que paga es el infoproductor de no-ficción, y su dolor no es escribir sino fabricar y mantener el pack completo —ebook, PDF, lead magnet, fichas, contenido de lanzamiento— que hoy rehace por canal y por herramienta </w:t>
      </w:r>
      <w:r>
        <w:fldChar w:fldCharType="begin"/>
      </w:r>
      <w:r>
        <w:instrText>NOTEREF _Ref_Footnote_84 \h \f</w:instrText>
      </w:r>
      <w:r>
        <w:fldChar w:fldCharType="separate"/>
      </w:r>
      <w:r>
        <w:rPr>
          <w:vertAlign w:val="superscript"/>
        </w:rPr>
        <w:t>84</w:t>
      </w:r>
      <w:r>
        <w:fldChar w:fldCharType="end"/>
      </w:r>
      <w:r>
        <w:t xml:space="preserve">. La dirección ya era acertada en la Fase 2 del plan original; aquí se aterriza sobre el AST real </w:t>
      </w:r>
      <w:r>
        <w:fldChar w:fldCharType="begin"/>
      </w:r>
      <w:r>
        <w:instrText>NOTEREF _Ref_Footnote_2 \h \f</w:instrText>
      </w:r>
      <w:r>
        <w:fldChar w:fldCharType="separate"/>
      </w:r>
      <w:r>
        <w:t>2</w:t>
      </w:r>
      <w:r>
        <w:fldChar w:fldCharType="end"/>
      </w:r>
      <w:r>
        <w:t>.</w:t>
      </w:r>
    </w:p>
    <w:p w14:paraId="284B1C42" w14:textId="77777777" w:rsidR="00085C05" w:rsidRDefault="00000000">
      <w:pPr>
        <w:pStyle w:val="Heading4"/>
      </w:pPr>
      <w:bookmarkStart w:id="182" w:name="X4546b2287b037afcbbb3cc98d1c4c6ee1fe9669"/>
      <w:r>
        <w:t>4.4.1 Biblioteca de plantillas: cinco productos con estructura, reglas y activos</w:t>
      </w:r>
    </w:p>
    <w:p w14:paraId="6487D0DD" w14:textId="77777777" w:rsidR="00085C05" w:rsidRDefault="00000000">
      <w:pPr>
        <w:pStyle w:val="FirstParagraph"/>
      </w:pPr>
      <w:r>
        <w:t xml:space="preserve">La biblioteca inicial se limita a cinco plantillas —libro estándar, manual técnico, guía/lead magnet, curso modular y bundle— y cada una se define como un triple: estructura base, reglas de composición propias y activos derivados que alimenta </w:t>
      </w:r>
      <w:r>
        <w:fldChar w:fldCharType="begin"/>
      </w:r>
      <w:r>
        <w:instrText>NOTEREF _Ref_Footnote_2 \h \f</w:instrText>
      </w:r>
      <w:r>
        <w:fldChar w:fldCharType="separate"/>
      </w:r>
      <w:r>
        <w:t>2</w:t>
      </w:r>
      <w:r>
        <w:fldChar w:fldCharType="end"/>
      </w:r>
      <w:r>
        <w:t xml:space="preserve">. El </w:t>
      </w:r>
      <w:r>
        <w:rPr>
          <w:rStyle w:val="VerbatimChar"/>
        </w:rPr>
        <w:t>TemplateSelector</w:t>
      </w:r>
      <w:r>
        <w:t xml:space="preserve"> existe hoy sin biblioteca detrás </w:t>
      </w:r>
      <w:r>
        <w:fldChar w:fldCharType="begin"/>
      </w:r>
      <w:r>
        <w:instrText>NOTEREF _Ref_Footnote_1 \h \f</w:instrText>
      </w:r>
      <w:r>
        <w:fldChar w:fldCharType="separate"/>
      </w:r>
      <w:r>
        <w:t>1</w:t>
      </w:r>
      <w:r>
        <w:fldChar w:fldCharType="end"/>
      </w:r>
      <w:r>
        <w:t xml:space="preserve">; el trabajo es de contenido editorial y diseño de reglas, no de framework. El precedente a imitar es el brand.yml de Quarto: una capa de identidad aplicada consistentemente a todos los formatos de salida, de modo que la plantilla es un contrato de coherencia multi-formato, no una skin visual </w:t>
      </w:r>
      <w:r>
        <w:rPr>
          <w:vertAlign w:val="superscript"/>
        </w:rPr>
        <w:footnoteReference w:id="137"/>
      </w:r>
      <w:r>
        <w:t xml:space="preserve">. Cada plantilla es además un artefacto de marketing: “el manual técnico que se maqueta solo” habla al nicho de no-ficción donde Vellum llega tarde y parcial (sin callout boxes ni footnotes reales en 2026) y Atticus acumula bugs documentados </w:t>
      </w:r>
      <w:r>
        <w:fldChar w:fldCharType="begin"/>
      </w:r>
      <w:r>
        <w:instrText>NOTEREF _Ref_Footnote_103 \h \f</w:instrText>
      </w:r>
      <w:r>
        <w:fldChar w:fldCharType="separate"/>
      </w:r>
      <w:r>
        <w:rPr>
          <w:vertAlign w:val="superscript"/>
        </w:rPr>
        <w:t>103</w:t>
      </w:r>
      <w:r>
        <w:fldChar w:fldCharType="end"/>
      </w:r>
      <w:r>
        <w:t xml:space="preserve"> </w:t>
      </w:r>
      <w:r>
        <w:fldChar w:fldCharType="begin"/>
      </w:r>
      <w:r>
        <w:instrText>NOTEREF _Ref_Footnote_99 \h \f</w:instrText>
      </w:r>
      <w:r>
        <w:fldChar w:fldCharType="separate"/>
      </w:r>
      <w:r>
        <w:rPr>
          <w:vertAlign w:val="superscript"/>
        </w:rPr>
        <w:t>99</w:t>
      </w:r>
      <w:r>
        <w:fldChar w:fldCharType="end"/>
      </w:r>
      <w:r>
        <w:t>.</w:t>
      </w:r>
    </w:p>
    <w:p w14:paraId="496493AA" w14:textId="77777777" w:rsidR="00085C05" w:rsidRDefault="00000000">
      <w:pPr>
        <w:pStyle w:val="Heading4"/>
      </w:pPr>
      <w:bookmarkStart w:id="184" w:name="Xe657b4ba708d794783548643ef3d2c9d403a83a"/>
      <w:bookmarkEnd w:id="182"/>
      <w:r>
        <w:t>4.4.2 Export multi-formato coordinado desde el AST</w:t>
      </w:r>
    </w:p>
    <w:p w14:paraId="3281B162" w14:textId="77777777" w:rsidR="00085C05" w:rsidRDefault="00000000">
      <w:pPr>
        <w:pStyle w:val="FirstParagraph"/>
      </w:pPr>
      <w:r>
        <w:t xml:space="preserve">El mismo AST alimenta de forma coordinada EPUB, PDF print, HTML web, Markdown para blog y slides, con versionado por activo vinculado al estado del árbol: cada export registra contra qué snapshot se generó, de modo que el creador sabe qué activos están desactualizados tras cada edición </w:t>
      </w:r>
      <w:r>
        <w:fldChar w:fldCharType="begin"/>
      </w:r>
      <w:r>
        <w:instrText>NOTEREF _Ref_Footnote_2 \h \f</w:instrText>
      </w:r>
      <w:r>
        <w:fldChar w:fldCharType="separate"/>
      </w:r>
      <w:r>
        <w:t>2</w:t>
      </w:r>
      <w:r>
        <w:fldChar w:fldCharType="end"/>
      </w:r>
      <w:r>
        <w:t xml:space="preserve">. La arquitectura es la validada por Pandoc —AST propio más writers— con la honestidad sobre pérdidas por formato que exige la matriz de Fase 1 </w:t>
      </w:r>
      <w:r>
        <w:fldChar w:fldCharType="begin"/>
      </w:r>
      <w:r>
        <w:instrText>NOTEREF _Ref_Footnote_130 \h \f</w:instrText>
      </w:r>
      <w:r>
        <w:fldChar w:fldCharType="separate"/>
      </w:r>
      <w:r>
        <w:rPr>
          <w:vertAlign w:val="superscript"/>
        </w:rPr>
        <w:t>130</w:t>
      </w:r>
      <w:r>
        <w:fldChar w:fldCharType="end"/>
      </w:r>
      <w:r>
        <w:t xml:space="preserve">. El valor de negocio es el repurposing sin copiar-pegar: transformar un contenido en varios activos (ebook→curso→lead magnet) es el core histórico de Designrr y la dirección de la nueva ola end-to-end, mientras la oferta actual obliga a rehacer cada pieza en Canva o Google Slides sin estructura ni export editorial </w:t>
      </w:r>
      <w:r>
        <w:fldChar w:fldCharType="begin"/>
      </w:r>
      <w:r>
        <w:instrText>NOTEREF _Ref_Footnote_48 \h \f</w:instrText>
      </w:r>
      <w:r>
        <w:fldChar w:fldCharType="separate"/>
      </w:r>
      <w:r>
        <w:rPr>
          <w:vertAlign w:val="superscript"/>
        </w:rPr>
        <w:t>48</w:t>
      </w:r>
      <w:r>
        <w:fldChar w:fldCharType="end"/>
      </w:r>
      <w:r>
        <w:t xml:space="preserve"> </w:t>
      </w:r>
      <w:r>
        <w:fldChar w:fldCharType="begin"/>
      </w:r>
      <w:r>
        <w:instrText>NOTEREF _Ref_Footnote_52 \h \f</w:instrText>
      </w:r>
      <w:r>
        <w:fldChar w:fldCharType="separate"/>
      </w:r>
      <w:r>
        <w:rPr>
          <w:vertAlign w:val="superscript"/>
        </w:rPr>
        <w:t>52</w:t>
      </w:r>
      <w:r>
        <w:fldChar w:fldCharType="end"/>
      </w:r>
      <w:r>
        <w:t xml:space="preserve">. </w:t>
      </w:r>
      <w:r>
        <w:rPr>
          <w:rStyle w:val="VerbatimChar"/>
        </w:rPr>
        <w:t>ExportJob</w:t>
      </w:r>
      <w:r>
        <w:t xml:space="preserve"> se convierte en orquestador de un manifiesto de activos, no en un botón de PDF </w:t>
      </w:r>
      <w:r>
        <w:fldChar w:fldCharType="begin"/>
      </w:r>
      <w:r>
        <w:instrText>NOTEREF _Ref_Footnote_1 \h \f</w:instrText>
      </w:r>
      <w:r>
        <w:fldChar w:fldCharType="separate"/>
      </w:r>
      <w:r>
        <w:t>1</w:t>
      </w:r>
      <w:r>
        <w:fldChar w:fldCharType="end"/>
      </w:r>
      <w:r>
        <w:t>.</w:t>
      </w:r>
    </w:p>
    <w:p w14:paraId="347EC129" w14:textId="77777777" w:rsidR="00085C05" w:rsidRDefault="00000000">
      <w:pPr>
        <w:pStyle w:val="Heading4"/>
      </w:pPr>
      <w:bookmarkStart w:id="185" w:name="mapa-editorial-evolucionado"/>
      <w:bookmarkEnd w:id="184"/>
      <w:r>
        <w:t>4.4.3 Mapa editorial evolucionado</w:t>
      </w:r>
    </w:p>
    <w:p w14:paraId="7DC52373" w14:textId="77777777" w:rsidR="00085C05" w:rsidRDefault="00000000">
      <w:pPr>
        <w:pStyle w:val="FirstParagraph"/>
      </w:pPr>
      <w:r>
        <w:t xml:space="preserve">El mapa editorial se implementa como vista declarativa de dependencias: qué secciones alimentan cada activo (qué capítulos se convierten en lecciones, qué bloques en fichas de newsletter, qué resumen en lead magnet) </w:t>
      </w:r>
      <w:r>
        <w:fldChar w:fldCharType="begin"/>
      </w:r>
      <w:r>
        <w:instrText>NOTEREF _Ref_Footnote_2 \h \f</w:instrText>
      </w:r>
      <w:r>
        <w:fldChar w:fldCharType="separate"/>
      </w:r>
      <w:r>
        <w:t>2</w:t>
      </w:r>
      <w:r>
        <w:fldChar w:fldCharType="end"/>
      </w:r>
      <w:r>
        <w:t>. Sin esa vista, el multi-formato es una caja negra; con ella, el creador configura el repurposing como reglas —“esta sección alimenta la ficha semanal”— en la misma filosofía declarativa del motor.</w:t>
      </w:r>
    </w:p>
    <w:p w14:paraId="0EEDDFA7" w14:textId="77777777" w:rsidR="00085C05" w:rsidRDefault="00000000">
      <w:pPr>
        <w:pStyle w:val="Heading4"/>
      </w:pPr>
      <w:bookmarkStart w:id="186" w:name="Xe1cadd1bb0c6066b6366117e5ccbcb123ea9e59"/>
      <w:bookmarkEnd w:id="185"/>
      <w:r>
        <w:t>4.4.4 Historial de versiones: snapshots sobre el AST</w:t>
      </w:r>
    </w:p>
    <w:p w14:paraId="56A9BA4C" w14:textId="77777777" w:rsidR="00085C05" w:rsidRDefault="00000000">
      <w:pPr>
        <w:pStyle w:val="FirstParagraph"/>
      </w:pPr>
      <w:r>
        <w:t xml:space="preserve">El historial de versiones es una feature request explícita y no entregada en el roadmap de Atticus (“eliminate the need to have a ton of files with each revision”) </w:t>
      </w:r>
      <w:r>
        <w:fldChar w:fldCharType="begin"/>
      </w:r>
      <w:r>
        <w:instrText>NOTEREF _Ref_Footnote_112 \h \f</w:instrText>
      </w:r>
      <w:r>
        <w:fldChar w:fldCharType="separate"/>
      </w:r>
      <w:r>
        <w:rPr>
          <w:vertAlign w:val="superscript"/>
        </w:rPr>
        <w:t>112</w:t>
      </w:r>
      <w:r>
        <w:fldChar w:fldCharType="end"/>
      </w:r>
      <w:r>
        <w:t xml:space="preserve">, y los precedentes marcan cómo hacerlo bien: Docusaurus versiona por snapshots que congelan el estado de los docs y recomienda mantener pocas versiones significativas; el versionado manual por UI de GitBook es una de sus críticas documentadas </w:t>
      </w:r>
      <w:r>
        <w:rPr>
          <w:vertAlign w:val="superscript"/>
        </w:rPr>
        <w:footnoteReference w:id="138"/>
      </w:r>
      <w:r>
        <w:t xml:space="preserve"> </w:t>
      </w:r>
      <w:r>
        <w:rPr>
          <w:vertAlign w:val="superscript"/>
        </w:rPr>
        <w:footnoteReference w:id="139"/>
      </w:r>
      <w:r>
        <w:t xml:space="preserve">. Anclora puede superar ambos porque su AST mantiene ids estables de bloques: un snapshot es un puntero al estado del árbol con diff navegable, no una duplicación de archivos </w:t>
      </w:r>
      <w:r>
        <w:fldChar w:fldCharType="begin"/>
      </w:r>
      <w:r>
        <w:instrText>NOTEREF _Ref_Footnote_1 \h \f</w:instrText>
      </w:r>
      <w:r>
        <w:fldChar w:fldCharType="separate"/>
      </w:r>
      <w:r>
        <w:t>1</w:t>
      </w:r>
      <w:r>
        <w:fldChar w:fldCharType="end"/>
      </w:r>
      <w:r>
        <w:t>. Combinado con la reimportación con diff ya existente, cierra el “flujo de revisiones infinitas” que el capítulo 3 identificó como feature insignia.</w:t>
      </w:r>
    </w:p>
    <w:p w14:paraId="485CCB07" w14:textId="77777777" w:rsidR="00085C05" w:rsidRDefault="00000000">
      <w:pPr>
        <w:pStyle w:val="BodyText"/>
      </w:pPr>
      <w:r>
        <w:rPr>
          <w:b/>
          <w:bCs/>
        </w:rPr>
        <w:t>Tabla 4. Fase 2: entregables, anclaje en el repo y criterios de salida</w:t>
      </w:r>
    </w:p>
    <w:tbl>
      <w:tblPr>
        <w:tblStyle w:val="Table"/>
        <w:tblW w:w="5000" w:type="pct"/>
        <w:tblLook w:val="0020" w:firstRow="1" w:lastRow="0" w:firstColumn="0" w:lastColumn="0" w:noHBand="0" w:noVBand="0"/>
      </w:tblPr>
      <w:tblGrid>
        <w:gridCol w:w="2058"/>
        <w:gridCol w:w="2362"/>
        <w:gridCol w:w="2580"/>
        <w:gridCol w:w="2054"/>
      </w:tblGrid>
      <w:tr w:rsidR="00085C05" w14:paraId="07390AFE"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2AE5A815" w14:textId="77777777" w:rsidR="00085C05" w:rsidRDefault="00000000">
            <w:pPr>
              <w:pStyle w:val="Compact"/>
            </w:pPr>
            <w:r>
              <w:t>Entregable</w:t>
            </w:r>
          </w:p>
        </w:tc>
        <w:tc>
          <w:tcPr>
            <w:tcW w:w="0" w:type="auto"/>
          </w:tcPr>
          <w:p w14:paraId="476DED9E" w14:textId="77777777" w:rsidR="00085C05" w:rsidRDefault="00000000">
            <w:pPr>
              <w:pStyle w:val="Compact"/>
            </w:pPr>
            <w:r>
              <w:t>Componente/área del repo</w:t>
            </w:r>
          </w:p>
        </w:tc>
        <w:tc>
          <w:tcPr>
            <w:tcW w:w="0" w:type="auto"/>
          </w:tcPr>
          <w:p w14:paraId="5F41A4E2" w14:textId="77777777" w:rsidR="00085C05" w:rsidRDefault="00000000">
            <w:pPr>
              <w:pStyle w:val="Compact"/>
            </w:pPr>
            <w:r>
              <w:t>Criterio de salida medible</w:t>
            </w:r>
          </w:p>
        </w:tc>
        <w:tc>
          <w:tcPr>
            <w:tcW w:w="0" w:type="auto"/>
          </w:tcPr>
          <w:p w14:paraId="745F4DD0" w14:textId="77777777" w:rsidR="00085C05" w:rsidRDefault="00000000">
            <w:pPr>
              <w:pStyle w:val="Compact"/>
            </w:pPr>
            <w:r>
              <w:t>Evidencia que lo justifica</w:t>
            </w:r>
          </w:p>
        </w:tc>
      </w:tr>
      <w:tr w:rsidR="00085C05" w14:paraId="02B1DE04" w14:textId="77777777">
        <w:tc>
          <w:tcPr>
            <w:tcW w:w="0" w:type="auto"/>
          </w:tcPr>
          <w:p w14:paraId="32677170" w14:textId="77777777" w:rsidR="00085C05" w:rsidRDefault="00000000">
            <w:pPr>
              <w:pStyle w:val="Compact"/>
            </w:pPr>
            <w:r>
              <w:t>Biblioteca de 5 plantillas de producto</w:t>
            </w:r>
          </w:p>
        </w:tc>
        <w:tc>
          <w:tcPr>
            <w:tcW w:w="0" w:type="auto"/>
          </w:tcPr>
          <w:p w14:paraId="4577B43F" w14:textId="77777777" w:rsidR="00085C05" w:rsidRDefault="00000000">
            <w:pPr>
              <w:pStyle w:val="Compact"/>
            </w:pPr>
            <w:r>
              <w:rPr>
                <w:rStyle w:val="VerbatimChar"/>
              </w:rPr>
              <w:t>TemplateSelector</w:t>
            </w:r>
            <w:r>
              <w:t>, presets de reglas</w:t>
            </w:r>
          </w:p>
        </w:tc>
        <w:tc>
          <w:tcPr>
            <w:tcW w:w="0" w:type="auto"/>
          </w:tcPr>
          <w:p w14:paraId="1C4AB792" w14:textId="77777777" w:rsidR="00085C05" w:rsidRDefault="00000000">
            <w:pPr>
              <w:pStyle w:val="Compact"/>
            </w:pPr>
            <w:r>
              <w:t>5 plantillas con estructura + reglas + activos; time-to-first-draft &lt;30 min</w:t>
            </w:r>
          </w:p>
        </w:tc>
        <w:tc>
          <w:tcPr>
            <w:tcW w:w="0" w:type="auto"/>
          </w:tcPr>
          <w:p w14:paraId="797117FB" w14:textId="77777777" w:rsidR="00085C05" w:rsidRDefault="00000000">
            <w:pPr>
              <w:pStyle w:val="Compact"/>
            </w:pPr>
            <w:r>
              <w:t xml:space="preserve">Fase 2 del plan original vigente </w:t>
            </w:r>
            <w:r>
              <w:fldChar w:fldCharType="begin"/>
            </w:r>
            <w:r>
              <w:instrText>NOTEREF _Ref_Footnote_2 \h \f</w:instrText>
            </w:r>
            <w:r>
              <w:fldChar w:fldCharType="separate"/>
            </w:r>
            <w:r>
              <w:t>2</w:t>
            </w:r>
            <w:r>
              <w:fldChar w:fldCharType="end"/>
            </w:r>
            <w:r>
              <w:t xml:space="preserve">; hueco de no-ficción en Vellum </w:t>
            </w:r>
            <w:r>
              <w:fldChar w:fldCharType="begin"/>
            </w:r>
            <w:r>
              <w:instrText>NOTEREF _Ref_Footnote_103 \h \f</w:instrText>
            </w:r>
            <w:r>
              <w:fldChar w:fldCharType="separate"/>
            </w:r>
            <w:r>
              <w:rPr>
                <w:vertAlign w:val="superscript"/>
              </w:rPr>
              <w:t>103</w:t>
            </w:r>
            <w:r>
              <w:fldChar w:fldCharType="end"/>
            </w:r>
          </w:p>
        </w:tc>
      </w:tr>
      <w:tr w:rsidR="00085C05" w14:paraId="2B90BB28" w14:textId="77777777">
        <w:tc>
          <w:tcPr>
            <w:tcW w:w="0" w:type="auto"/>
          </w:tcPr>
          <w:p w14:paraId="7C9EED3B" w14:textId="77777777" w:rsidR="00085C05" w:rsidRDefault="00000000">
            <w:pPr>
              <w:pStyle w:val="Compact"/>
            </w:pPr>
            <w:r>
              <w:t>Capa de identidad multi-formato</w:t>
            </w:r>
          </w:p>
        </w:tc>
        <w:tc>
          <w:tcPr>
            <w:tcW w:w="0" w:type="auto"/>
          </w:tcPr>
          <w:p w14:paraId="77FFEFF6" w14:textId="77777777" w:rsidR="00085C05" w:rsidRDefault="00000000">
            <w:pPr>
              <w:pStyle w:val="Compact"/>
            </w:pPr>
            <w:r>
              <w:t>Plantillas + tokens de marca</w:t>
            </w:r>
          </w:p>
        </w:tc>
        <w:tc>
          <w:tcPr>
            <w:tcW w:w="0" w:type="auto"/>
          </w:tcPr>
          <w:p w14:paraId="30A5A721" w14:textId="77777777" w:rsidR="00085C05" w:rsidRDefault="00000000">
            <w:pPr>
              <w:pStyle w:val="Compact"/>
            </w:pPr>
            <w:r>
              <w:t>Identidad consistente verificada en EPUB/PDF/HTML por plantilla</w:t>
            </w:r>
          </w:p>
        </w:tc>
        <w:tc>
          <w:tcPr>
            <w:tcW w:w="0" w:type="auto"/>
          </w:tcPr>
          <w:p w14:paraId="5E097314" w14:textId="77777777" w:rsidR="00085C05" w:rsidRDefault="00000000">
            <w:pPr>
              <w:pStyle w:val="Compact"/>
            </w:pPr>
            <w:r>
              <w:t xml:space="preserve">brand.yml de Quarto como precedente </w:t>
            </w:r>
            <w:r>
              <w:fldChar w:fldCharType="begin"/>
            </w:r>
            <w:r>
              <w:instrText>NOTEREF _Ref_Footnote_114 \h \f</w:instrText>
            </w:r>
            <w:r>
              <w:fldChar w:fldCharType="separate"/>
            </w:r>
            <w:r>
              <w:rPr>
                <w:vertAlign w:val="superscript"/>
              </w:rPr>
              <w:t>114</w:t>
            </w:r>
            <w:r>
              <w:fldChar w:fldCharType="end"/>
            </w:r>
          </w:p>
        </w:tc>
      </w:tr>
      <w:tr w:rsidR="00085C05" w14:paraId="2D625B3A" w14:textId="77777777">
        <w:tc>
          <w:tcPr>
            <w:tcW w:w="0" w:type="auto"/>
          </w:tcPr>
          <w:p w14:paraId="6A68AECB" w14:textId="77777777" w:rsidR="00085C05" w:rsidRDefault="00000000">
            <w:pPr>
              <w:pStyle w:val="Compact"/>
            </w:pPr>
            <w:r>
              <w:t>Export multi-formato coordinado</w:t>
            </w:r>
          </w:p>
        </w:tc>
        <w:tc>
          <w:tcPr>
            <w:tcW w:w="0" w:type="auto"/>
          </w:tcPr>
          <w:p w14:paraId="4D06839A" w14:textId="77777777" w:rsidR="00085C05" w:rsidRDefault="00000000">
            <w:pPr>
              <w:pStyle w:val="Compact"/>
            </w:pPr>
            <w:r>
              <w:rPr>
                <w:rStyle w:val="VerbatimChar"/>
              </w:rPr>
              <w:t>ExportJob</w:t>
            </w:r>
            <w:r>
              <w:t>, writers por formato</w:t>
            </w:r>
          </w:p>
        </w:tc>
        <w:tc>
          <w:tcPr>
            <w:tcW w:w="0" w:type="auto"/>
          </w:tcPr>
          <w:p w14:paraId="0DF38D54" w14:textId="77777777" w:rsidR="00085C05" w:rsidRDefault="00000000">
            <w:pPr>
              <w:pStyle w:val="Compact"/>
            </w:pPr>
            <w:r>
              <w:t>EPUB + PDF + HTML + Markdown + slides desde un AST, versionados</w:t>
            </w:r>
          </w:p>
        </w:tc>
        <w:tc>
          <w:tcPr>
            <w:tcW w:w="0" w:type="auto"/>
          </w:tcPr>
          <w:p w14:paraId="538195F3" w14:textId="77777777" w:rsidR="00085C05" w:rsidRDefault="00000000">
            <w:pPr>
              <w:pStyle w:val="Compact"/>
            </w:pPr>
            <w:r>
              <w:t xml:space="preserve">Pandoc AST+writers </w:t>
            </w:r>
            <w:r>
              <w:fldChar w:fldCharType="begin"/>
            </w:r>
            <w:r>
              <w:instrText>NOTEREF _Ref_Footnote_130 \h \f</w:instrText>
            </w:r>
            <w:r>
              <w:fldChar w:fldCharType="separate"/>
            </w:r>
            <w:r>
              <w:rPr>
                <w:vertAlign w:val="superscript"/>
              </w:rPr>
              <w:t>130</w:t>
            </w:r>
            <w:r>
              <w:fldChar w:fldCharType="end"/>
            </w:r>
            <w:r>
              <w:t xml:space="preserve">; repurposing como demanda clave </w:t>
            </w:r>
            <w:r>
              <w:fldChar w:fldCharType="begin"/>
            </w:r>
            <w:r>
              <w:instrText>NOTEREF _Ref_Footnote_99 \h \f</w:instrText>
            </w:r>
            <w:r>
              <w:fldChar w:fldCharType="separate"/>
            </w:r>
            <w:r>
              <w:rPr>
                <w:vertAlign w:val="superscript"/>
              </w:rPr>
              <w:t>99</w:t>
            </w:r>
            <w:r>
              <w:fldChar w:fldCharType="end"/>
            </w:r>
            <w:r>
              <w:t xml:space="preserve"> </w:t>
            </w:r>
            <w:r>
              <w:fldChar w:fldCharType="begin"/>
            </w:r>
            <w:r>
              <w:instrText>NOTEREF _Ref_Footnote_52 \h \f</w:instrText>
            </w:r>
            <w:r>
              <w:fldChar w:fldCharType="separate"/>
            </w:r>
            <w:r>
              <w:rPr>
                <w:vertAlign w:val="superscript"/>
              </w:rPr>
              <w:t>52</w:t>
            </w:r>
            <w:r>
              <w:fldChar w:fldCharType="end"/>
            </w:r>
          </w:p>
        </w:tc>
      </w:tr>
      <w:tr w:rsidR="00085C05" w14:paraId="275F1A21" w14:textId="77777777">
        <w:tc>
          <w:tcPr>
            <w:tcW w:w="0" w:type="auto"/>
          </w:tcPr>
          <w:p w14:paraId="315292A4" w14:textId="77777777" w:rsidR="00085C05" w:rsidRDefault="00000000">
            <w:pPr>
              <w:pStyle w:val="Compact"/>
            </w:pPr>
            <w:r>
              <w:t>Manifiesto de activos desactualizados</w:t>
            </w:r>
          </w:p>
        </w:tc>
        <w:tc>
          <w:tcPr>
            <w:tcW w:w="0" w:type="auto"/>
          </w:tcPr>
          <w:p w14:paraId="47D07DDC" w14:textId="77777777" w:rsidR="00085C05" w:rsidRDefault="00000000">
            <w:pPr>
              <w:pStyle w:val="Compact"/>
            </w:pPr>
            <w:r>
              <w:rPr>
                <w:rStyle w:val="VerbatimChar"/>
              </w:rPr>
              <w:t>ExportJob</w:t>
            </w:r>
            <w:r>
              <w:t xml:space="preserve"> + snapshots</w:t>
            </w:r>
          </w:p>
        </w:tc>
        <w:tc>
          <w:tcPr>
            <w:tcW w:w="0" w:type="auto"/>
          </w:tcPr>
          <w:p w14:paraId="24794A6C" w14:textId="77777777" w:rsidR="00085C05" w:rsidRDefault="00000000">
            <w:pPr>
              <w:pStyle w:val="Compact"/>
            </w:pPr>
            <w:r>
              <w:t>Aviso automático de activos obsoletos tras edición</w:t>
            </w:r>
          </w:p>
        </w:tc>
        <w:tc>
          <w:tcPr>
            <w:tcW w:w="0" w:type="auto"/>
          </w:tcPr>
          <w:p w14:paraId="5C28E17B" w14:textId="77777777" w:rsidR="00085C05" w:rsidRDefault="00000000">
            <w:pPr>
              <w:pStyle w:val="Compact"/>
            </w:pPr>
            <w:r>
              <w:t xml:space="preserve">Confusión de versiones en el stack actual </w:t>
            </w:r>
            <w:r>
              <w:fldChar w:fldCharType="begin"/>
            </w:r>
            <w:r>
              <w:instrText>NOTEREF _Ref_Footnote_55 \h \f</w:instrText>
            </w:r>
            <w:r>
              <w:fldChar w:fldCharType="separate"/>
            </w:r>
            <w:r>
              <w:rPr>
                <w:vertAlign w:val="superscript"/>
              </w:rPr>
              <w:t>55</w:t>
            </w:r>
            <w:r>
              <w:fldChar w:fldCharType="end"/>
            </w:r>
          </w:p>
        </w:tc>
      </w:tr>
      <w:tr w:rsidR="00085C05" w14:paraId="25505955" w14:textId="77777777">
        <w:tc>
          <w:tcPr>
            <w:tcW w:w="0" w:type="auto"/>
          </w:tcPr>
          <w:p w14:paraId="067A33CA" w14:textId="77777777" w:rsidR="00085C05" w:rsidRDefault="00000000">
            <w:pPr>
              <w:pStyle w:val="Compact"/>
            </w:pPr>
            <w:r>
              <w:t>Mapa editorial de dependencias</w:t>
            </w:r>
          </w:p>
        </w:tc>
        <w:tc>
          <w:tcPr>
            <w:tcW w:w="0" w:type="auto"/>
          </w:tcPr>
          <w:p w14:paraId="19219105" w14:textId="77777777" w:rsidR="00085C05" w:rsidRDefault="00000000">
            <w:pPr>
              <w:pStyle w:val="Compact"/>
            </w:pPr>
            <w:r>
              <w:t>Panel editorial (nuevo)</w:t>
            </w:r>
          </w:p>
        </w:tc>
        <w:tc>
          <w:tcPr>
            <w:tcW w:w="0" w:type="auto"/>
          </w:tcPr>
          <w:p w14:paraId="37C52EFB" w14:textId="77777777" w:rsidR="00085C05" w:rsidRDefault="00000000">
            <w:pPr>
              <w:pStyle w:val="Compact"/>
            </w:pPr>
            <w:r>
              <w:t>Dependencias sección→activo editables y reflejadas en exports</w:t>
            </w:r>
          </w:p>
        </w:tc>
        <w:tc>
          <w:tcPr>
            <w:tcW w:w="0" w:type="auto"/>
          </w:tcPr>
          <w:p w14:paraId="22A81592" w14:textId="77777777" w:rsidR="00085C05" w:rsidRDefault="00000000">
            <w:pPr>
              <w:pStyle w:val="Compact"/>
            </w:pPr>
            <w:r>
              <w:t xml:space="preserve">Mapa editorial del plan original </w:t>
            </w:r>
            <w:r>
              <w:fldChar w:fldCharType="begin"/>
            </w:r>
            <w:r>
              <w:instrText>NOTEREF _Ref_Footnote_2 \h \f</w:instrText>
            </w:r>
            <w:r>
              <w:fldChar w:fldCharType="separate"/>
            </w:r>
            <w:r>
              <w:t>2</w:t>
            </w:r>
            <w:r>
              <w:fldChar w:fldCharType="end"/>
            </w:r>
          </w:p>
        </w:tc>
      </w:tr>
      <w:tr w:rsidR="00085C05" w14:paraId="62935D7C" w14:textId="77777777">
        <w:tc>
          <w:tcPr>
            <w:tcW w:w="0" w:type="auto"/>
          </w:tcPr>
          <w:p w14:paraId="167FDCCF" w14:textId="77777777" w:rsidR="00085C05" w:rsidRDefault="00000000">
            <w:pPr>
              <w:pStyle w:val="Compact"/>
            </w:pPr>
            <w:r>
              <w:t>Historial de versiones (snapshots AST)</w:t>
            </w:r>
          </w:p>
        </w:tc>
        <w:tc>
          <w:tcPr>
            <w:tcW w:w="0" w:type="auto"/>
          </w:tcPr>
          <w:p w14:paraId="4246BD40" w14:textId="77777777" w:rsidR="00085C05" w:rsidRDefault="00000000">
            <w:pPr>
              <w:pStyle w:val="Compact"/>
            </w:pPr>
            <w:r>
              <w:t>Modelo de documento, reimport</w:t>
            </w:r>
          </w:p>
        </w:tc>
        <w:tc>
          <w:tcPr>
            <w:tcW w:w="0" w:type="auto"/>
          </w:tcPr>
          <w:p w14:paraId="2ED7281A" w14:textId="77777777" w:rsidR="00085C05" w:rsidRDefault="00000000">
            <w:pPr>
              <w:pStyle w:val="Compact"/>
            </w:pPr>
            <w:r>
              <w:t>Snapshots con diff navegable; restauración testada</w:t>
            </w:r>
          </w:p>
        </w:tc>
        <w:tc>
          <w:tcPr>
            <w:tcW w:w="0" w:type="auto"/>
          </w:tcPr>
          <w:p w14:paraId="0F2A3DD9" w14:textId="77777777" w:rsidR="00085C05" w:rsidRDefault="00000000">
            <w:pPr>
              <w:pStyle w:val="Compact"/>
            </w:pPr>
            <w:r>
              <w:t xml:space="preserve">Feature request no entregada en Atticus </w:t>
            </w:r>
            <w:r>
              <w:fldChar w:fldCharType="begin"/>
            </w:r>
            <w:r>
              <w:instrText>NOTEREF _Ref_Footnote_112 \h \f</w:instrText>
            </w:r>
            <w:r>
              <w:fldChar w:fldCharType="separate"/>
            </w:r>
            <w:r>
              <w:rPr>
                <w:vertAlign w:val="superscript"/>
              </w:rPr>
              <w:t>112</w:t>
            </w:r>
            <w:r>
              <w:fldChar w:fldCharType="end"/>
            </w:r>
            <w:r>
              <w:t xml:space="preserve">; precedente Docusaurus </w:t>
            </w:r>
            <w:r>
              <w:fldChar w:fldCharType="begin"/>
            </w:r>
            <w:r>
              <w:instrText>NOTEREF _Ref_Footnote_138 \h \f</w:instrText>
            </w:r>
            <w:r>
              <w:fldChar w:fldCharType="separate"/>
            </w:r>
            <w:r>
              <w:rPr>
                <w:vertAlign w:val="superscript"/>
              </w:rPr>
              <w:t>138</w:t>
            </w:r>
            <w:r>
              <w:fldChar w:fldCharType="end"/>
            </w:r>
          </w:p>
        </w:tc>
      </w:tr>
    </w:tbl>
    <w:p w14:paraId="4A764BF7" w14:textId="77777777" w:rsidR="00085C05" w:rsidRDefault="00000000">
      <w:pPr>
        <w:pStyle w:val="BodyText"/>
      </w:pPr>
      <w:r>
        <w:t xml:space="preserve">Dos lecturas guían la ejecución. La primera es de secuencia interna: el historial de versiones y el manifiesto de activos comparten la misma primitiva —el snapshot del AST—, así que construirlos en la misma fase evita duplicar el subsistema de persistencia temporal; es la decisión con mayor efecto palanca de la tabla. La segunda es de posicionamiento: cada plantilla es una cuña de mercado. La de manual técnico ataca el nicho donde el dolor de no-ficción está peor cubierto (callouts, tablas, encabezados multinivel), la de lead magnet conecta con el infoproductor que hoy vive en Canva sin estructura ni export editorial, y la de bundle empaqueta la oferta que Teachable documenta con +23% de conversión al bundlear ebook con curso </w:t>
      </w:r>
      <w:r>
        <w:rPr>
          <w:vertAlign w:val="superscript"/>
        </w:rPr>
        <w:footnoteReference w:id="140"/>
      </w:r>
      <w:r>
        <w:t>. El riesgo es la dispersión: cinco plantillas mediocres valen menos que tres excelentes, y el criterio de time-to-first-draft es el termómetro que lo detecta. Esfuerzo estimado: 12-16 persona-mes.</w:t>
      </w:r>
    </w:p>
    <w:p w14:paraId="374D2E7A" w14:textId="77777777" w:rsidR="00085C05" w:rsidRDefault="00000000">
      <w:pPr>
        <w:pStyle w:val="Heading3"/>
      </w:pPr>
      <w:bookmarkStart w:id="190" w:name="X5c40a01ea626bbc9e3ac640cc322d9ae2827fc1"/>
      <w:bookmarkEnd w:id="181"/>
      <w:bookmarkEnd w:id="186"/>
      <w:r>
        <w:t>4.5 Fase 3 — IA gobernada sobre el motor (meses 8-12)</w:t>
      </w:r>
    </w:p>
    <w:p w14:paraId="26FCDFCE" w14:textId="77777777" w:rsidR="00085C05" w:rsidRDefault="00000000">
      <w:pPr>
        <w:pStyle w:val="FirstParagraph"/>
      </w:pPr>
      <w:r>
        <w:t xml:space="preserve">Objetivo de negocio: defender el foso antes de que se cierre la ventana. La generación de texto está comoditizada y su fallo más citado es precisamente el que Anclora resuelve por arquitectura: capítulos generados en aislamiento, sin continuidad estructural </w:t>
      </w:r>
      <w:r>
        <w:fldChar w:fldCharType="begin"/>
      </w:r>
      <w:r>
        <w:instrText>NOTEREF _Ref_Footnote_52 \h \f</w:instrText>
      </w:r>
      <w:r>
        <w:fldChar w:fldCharType="separate"/>
      </w:r>
      <w:r>
        <w:rPr>
          <w:vertAlign w:val="superscript"/>
        </w:rPr>
        <w:t>52</w:t>
      </w:r>
      <w:r>
        <w:fldChar w:fldCharType="end"/>
      </w:r>
      <w:r>
        <w:t xml:space="preserve">. La respuesta no es añadir otro chatbot —el </w:t>
      </w:r>
      <w:r>
        <w:rPr>
          <w:rStyle w:val="VerbatimChar"/>
        </w:rPr>
        <w:t>AIAssistant</w:t>
      </w:r>
      <w:r>
        <w:t xml:space="preserve"> genérico actual es exactamente el patrón commodity— sino conectar agentes al motor: la IA de Anclora opera sobre el AST, las reglas y las violaciones, no sobre una caja de texto </w:t>
      </w:r>
      <w:r>
        <w:fldChar w:fldCharType="begin"/>
      </w:r>
      <w:r>
        <w:instrText>NOTEREF _Ref_Footnote_1 \h \f</w:instrText>
      </w:r>
      <w:r>
        <w:fldChar w:fldCharType="separate"/>
      </w:r>
      <w:r>
        <w:t>1</w:t>
      </w:r>
      <w:r>
        <w:fldChar w:fldCharType="end"/>
      </w:r>
      <w:r>
        <w:t xml:space="preserve"> </w:t>
      </w:r>
      <w:r>
        <w:fldChar w:fldCharType="begin"/>
      </w:r>
      <w:r>
        <w:instrText>NOTEREF _Ref_Footnote_2 \h \f</w:instrText>
      </w:r>
      <w:r>
        <w:fldChar w:fldCharType="separate"/>
      </w:r>
      <w:r>
        <w:t>2</w:t>
      </w:r>
      <w:r>
        <w:fldChar w:fldCharType="end"/>
      </w:r>
      <w:r>
        <w:t>.</w:t>
      </w:r>
    </w:p>
    <w:p w14:paraId="4E22A160" w14:textId="77777777" w:rsidR="00085C05" w:rsidRDefault="00000000">
      <w:pPr>
        <w:pStyle w:val="Heading4"/>
      </w:pPr>
      <w:bookmarkStart w:id="191" w:name="X5b45ed5f64c116d52d34c7271f63145bf7fe671"/>
      <w:r>
        <w:t>4.5.1 Capa 1: asistente estructural — de diagnóstico a prescripción</w:t>
      </w:r>
    </w:p>
    <w:p w14:paraId="2195BAEA" w14:textId="77777777" w:rsidR="00085C05" w:rsidRDefault="00000000">
      <w:pPr>
        <w:pStyle w:val="FirstParagraph"/>
      </w:pPr>
      <w:r>
        <w:t xml:space="preserve">La primera capa monetiza la credibilidad construida antes. El agente de salud documental toma las violaciones del </w:t>
      </w:r>
      <w:r>
        <w:rPr>
          <w:rStyle w:val="VerbatimChar"/>
        </w:rPr>
        <w:t>DocumentHealthPanel</w:t>
      </w:r>
      <w:r>
        <w:t xml:space="preserve"> y propone fixes concretos —reubicar un bloque, ajustar una regla, dividir una tabla— como diffs aceptables o rechazables, cerrando el ciclo que hoy termina en un aviso. El agente de coherencia vigila referencias cruzadas, TOC y consistencia entre capítulos, atacando el fallo número uno de los generadores desde la infraestructura que ellos no tienen </w:t>
      </w:r>
      <w:r>
        <w:fldChar w:fldCharType="begin"/>
      </w:r>
      <w:r>
        <w:instrText>NOTEREF _Ref_Footnote_52 \h \f</w:instrText>
      </w:r>
      <w:r>
        <w:fldChar w:fldCharType="separate"/>
      </w:r>
      <w:r>
        <w:rPr>
          <w:vertAlign w:val="superscript"/>
        </w:rPr>
        <w:t>52</w:t>
      </w:r>
      <w:r>
        <w:fldChar w:fldCharType="end"/>
      </w:r>
      <w:r>
        <w:t xml:space="preserve">. El encuadre sigue la transición agéntica que el mercado valida —sistemas multiagente con fact-checking y copyediting coordinados; Gartner proyecta que el 40% de las aplicaciones empresariales incorporará agentes de tarea específica en 2026 </w:t>
      </w:r>
      <w:r>
        <w:fldChar w:fldCharType="begin"/>
      </w:r>
      <w:r>
        <w:instrText>NOTEREF _Ref_Footnote_40 \h \f</w:instrText>
      </w:r>
      <w:r>
        <w:fldChar w:fldCharType="separate"/>
      </w:r>
      <w:r>
        <w:rPr>
          <w:vertAlign w:val="superscript"/>
        </w:rPr>
        <w:t>40</w:t>
      </w:r>
      <w:r>
        <w:fldChar w:fldCharType="end"/>
      </w:r>
      <w:r>
        <w:t xml:space="preserve"> </w:t>
      </w:r>
      <w:r>
        <w:fldChar w:fldCharType="begin"/>
      </w:r>
      <w:r>
        <w:instrText>NOTEREF _Ref_Footnote_8 \h \f</w:instrText>
      </w:r>
      <w:r>
        <w:fldChar w:fldCharType="separate"/>
      </w:r>
      <w:r>
        <w:t>8</w:t>
      </w:r>
      <w:r>
        <w:fldChar w:fldCharType="end"/>
      </w:r>
      <w:r>
        <w:t>— con una diferencia decisiva: los agentes de Anclora no escriben sobre el documento, razonan sobre su modelo.</w:t>
      </w:r>
    </w:p>
    <w:p w14:paraId="08307116" w14:textId="77777777" w:rsidR="00085C05" w:rsidRDefault="00000000">
      <w:pPr>
        <w:pStyle w:val="Heading4"/>
      </w:pPr>
      <w:bookmarkStart w:id="192" w:name="Xd62deae8ae6d2e54c59b859ad94946db27d6da4"/>
      <w:bookmarkEnd w:id="191"/>
      <w:r>
        <w:t>4.5.2 Capa 2: co-autor multiagente con gates humanos</w:t>
      </w:r>
    </w:p>
    <w:p w14:paraId="456F16CF" w14:textId="77777777" w:rsidR="00085C05" w:rsidRDefault="00000000">
      <w:pPr>
        <w:pStyle w:val="FirstParagraph"/>
      </w:pPr>
      <w:r>
        <w:t xml:space="preserve">Sobre esa base se despliega el co-autor: reescritura de estilo por selección, arquitectura de contenido (propuestas de reestructuración de capítulos) y generación de resúmenes y lead magnets derivados del AST —no del texto plano—, todo como diffs que el autor acepta o rechaza bloque a bloque </w:t>
      </w:r>
      <w:r>
        <w:fldChar w:fldCharType="begin"/>
      </w:r>
      <w:r>
        <w:instrText>NOTEREF _Ref_Footnote_2 \h \f</w:instrText>
      </w:r>
      <w:r>
        <w:fldChar w:fldCharType="separate"/>
      </w:r>
      <w:r>
        <w:t>2</w:t>
      </w:r>
      <w:r>
        <w:fldChar w:fldCharType="end"/>
      </w:r>
      <w:r>
        <w:t xml:space="preserve">. Los gates no son una cautela cosmética: son el flujo que los autores ya declaran mayoritariamente (“it’s all reviewed/accepted/rejected to stay within my voice”) y la frontera que separa al 61% que usa IA del 7% que publica texto generado </w:t>
      </w:r>
      <w:r>
        <w:fldChar w:fldCharType="begin"/>
      </w:r>
      <w:r>
        <w:instrText>NOTEREF _Ref_Footnote_13 \h \f</w:instrText>
      </w:r>
      <w:r>
        <w:fldChar w:fldCharType="separate"/>
      </w:r>
      <w:r>
        <w:rPr>
          <w:vertAlign w:val="superscript"/>
        </w:rPr>
        <w:t>13</w:t>
      </w:r>
      <w:r>
        <w:fldChar w:fldCharType="end"/>
      </w:r>
      <w:r>
        <w:t xml:space="preserve"> </w:t>
      </w:r>
      <w:r>
        <w:fldChar w:fldCharType="begin"/>
      </w:r>
      <w:r>
        <w:instrText>NOTEREF _Ref_Footnote_137 \h \f</w:instrText>
      </w:r>
      <w:r>
        <w:fldChar w:fldCharType="separate"/>
      </w:r>
      <w:r>
        <w:rPr>
          <w:vertAlign w:val="superscript"/>
        </w:rPr>
        <w:t>137</w:t>
      </w:r>
      <w:r>
        <w:fldChar w:fldCharType="end"/>
      </w:r>
      <w:r>
        <w:t xml:space="preserve">. Se añade un guardián de voz entrenable con los documentos del proyecto, siguiendo el patrón Codex de Novelcrafter y Brand Voice de Jasper, inexistente hoy en herramientas de producto editorial </w:t>
      </w:r>
      <w:r>
        <w:fldChar w:fldCharType="begin"/>
      </w:r>
      <w:r>
        <w:instrText>NOTEREF _Ref_Footnote_60 \h \f</w:instrText>
      </w:r>
      <w:r>
        <w:fldChar w:fldCharType="separate"/>
      </w:r>
      <w:r>
        <w:rPr>
          <w:vertAlign w:val="superscript"/>
        </w:rPr>
        <w:t>60</w:t>
      </w:r>
      <w:r>
        <w:fldChar w:fldCharType="end"/>
      </w:r>
      <w:r>
        <w:t xml:space="preserve"> </w:t>
      </w:r>
      <w:r>
        <w:fldChar w:fldCharType="begin"/>
      </w:r>
      <w:r>
        <w:instrText>NOTEREF _Ref_Footnote_62 \h \f</w:instrText>
      </w:r>
      <w:r>
        <w:fldChar w:fldCharType="separate"/>
      </w:r>
      <w:r>
        <w:rPr>
          <w:vertAlign w:val="superscript"/>
        </w:rPr>
        <w:t>62</w:t>
      </w:r>
      <w:r>
        <w:fldChar w:fldCharType="end"/>
      </w:r>
      <w:r>
        <w:t>.</w:t>
      </w:r>
    </w:p>
    <w:p w14:paraId="51CAD76B" w14:textId="77777777" w:rsidR="00085C05" w:rsidRDefault="00000000">
      <w:pPr>
        <w:pStyle w:val="Heading4"/>
      </w:pPr>
      <w:bookmarkStart w:id="193" w:name="X3be42863af0de0d842d974b6835e61cba0dd85b"/>
      <w:bookmarkEnd w:id="192"/>
      <w:r>
        <w:t>4.5.3 Gobernanza IA: la trazabilidad como argumento de compra</w:t>
      </w:r>
    </w:p>
    <w:p w14:paraId="6DB70400" w14:textId="77777777" w:rsidR="00085C05" w:rsidRDefault="00000000">
      <w:pPr>
        <w:pStyle w:val="FirstParagraph"/>
      </w:pPr>
      <w:r>
        <w:t xml:space="preserve">La tercera pieza convierte cumplimiento en ventaja. KDP exige declarar el contenido IA-generado (texto, imágenes, traducciones) con enforcement endurecido en 2025-2026: revisiones más lentas para títulos con IA declarada, revisión retroactiva del catálogo y sanciones a nivel de cuenta </w:t>
      </w:r>
      <w:r>
        <w:fldChar w:fldCharType="begin"/>
      </w:r>
      <w:r>
        <w:instrText>NOTEREF _Ref_Footnote_54 \h \f</w:instrText>
      </w:r>
      <w:r>
        <w:fldChar w:fldCharType="separate"/>
      </w:r>
      <w:r>
        <w:rPr>
          <w:vertAlign w:val="superscript"/>
        </w:rPr>
        <w:t>54</w:t>
      </w:r>
      <w:r>
        <w:fldChar w:fldCharType="end"/>
      </w:r>
      <w:r>
        <w:t xml:space="preserve"> </w:t>
      </w:r>
      <w:r>
        <w:fldChar w:fldCharType="begin"/>
      </w:r>
      <w:r>
        <w:instrText>NOTEREF _Ref_Footnote_79 \h \f</w:instrText>
      </w:r>
      <w:r>
        <w:fldChar w:fldCharType="separate"/>
      </w:r>
      <w:r>
        <w:rPr>
          <w:vertAlign w:val="superscript"/>
        </w:rPr>
        <w:t>79</w:t>
      </w:r>
      <w:r>
        <w:fldChar w:fldCharType="end"/>
      </w:r>
      <w:r>
        <w:t xml:space="preserve">; mientras, el 74% de los autores que usan IA no lo declara a sus lectores </w:t>
      </w:r>
      <w:r>
        <w:fldChar w:fldCharType="begin"/>
      </w:r>
      <w:r>
        <w:instrText>NOTEREF _Ref_Footnote_13 \h \f</w:instrText>
      </w:r>
      <w:r>
        <w:fldChar w:fldCharType="separate"/>
      </w:r>
      <w:r>
        <w:rPr>
          <w:vertAlign w:val="superscript"/>
        </w:rPr>
        <w:t>13</w:t>
      </w:r>
      <w:r>
        <w:fldChar w:fldCharType="end"/>
      </w:r>
      <w:r>
        <w:t xml:space="preserve">. Anclora registra la procedencia —humano o IA— a nivel de bloque sobre el AST (el changeset previsto en el plan original como registro de decisiones IA </w:t>
      </w:r>
      <w:r>
        <w:fldChar w:fldCharType="begin"/>
      </w:r>
      <w:r>
        <w:instrText>NOTEREF _Ref_Footnote_2 \h \f</w:instrText>
      </w:r>
      <w:r>
        <w:fldChar w:fldCharType="separate"/>
      </w:r>
      <w:r>
        <w:t>2</w:t>
      </w:r>
      <w:r>
        <w:fldChar w:fldCharType="end"/>
      </w:r>
      <w:r>
        <w:t xml:space="preserve">) y genera el disclosure de KDP automáticamente en cada exportación con material generado. Ningún competidor ofrece trazabilidad equivalente; en un mercado con devoluciones un 41% superiores para contenido IA y lectores que pagan hasta un 15% más por libros etiquetados como humanos, la gobernanza es marketing: “asistente editorial gobernado, nunca escritor fantasma” </w:t>
      </w:r>
      <w:r>
        <w:fldChar w:fldCharType="begin"/>
      </w:r>
      <w:r>
        <w:instrText>NOTEREF _Ref_Footnote_53 \h \f</w:instrText>
      </w:r>
      <w:r>
        <w:fldChar w:fldCharType="separate"/>
      </w:r>
      <w:r>
        <w:rPr>
          <w:vertAlign w:val="superscript"/>
        </w:rPr>
        <w:t>53</w:t>
      </w:r>
      <w:r>
        <w:fldChar w:fldCharType="end"/>
      </w:r>
      <w:r>
        <w:t>.</w:t>
      </w:r>
    </w:p>
    <w:p w14:paraId="212175EE" w14:textId="77777777" w:rsidR="00085C05" w:rsidRDefault="00000000">
      <w:pPr>
        <w:pStyle w:val="BodyText"/>
      </w:pPr>
      <w:r>
        <w:rPr>
          <w:b/>
          <w:bCs/>
        </w:rPr>
        <w:t>Tabla 5. Fase 3: entregables, anclaje en el repo y criterios de salida</w:t>
      </w:r>
    </w:p>
    <w:tbl>
      <w:tblPr>
        <w:tblStyle w:val="Table"/>
        <w:tblW w:w="5000" w:type="pct"/>
        <w:tblLook w:val="0020" w:firstRow="1" w:lastRow="0" w:firstColumn="0" w:lastColumn="0" w:noHBand="0" w:noVBand="0"/>
      </w:tblPr>
      <w:tblGrid>
        <w:gridCol w:w="1501"/>
        <w:gridCol w:w="2533"/>
        <w:gridCol w:w="2559"/>
        <w:gridCol w:w="2461"/>
      </w:tblGrid>
      <w:tr w:rsidR="00085C05" w14:paraId="58746ABB"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1BB5DDBE" w14:textId="77777777" w:rsidR="00085C05" w:rsidRDefault="00000000">
            <w:pPr>
              <w:pStyle w:val="Compact"/>
            </w:pPr>
            <w:r>
              <w:t>Entregable</w:t>
            </w:r>
          </w:p>
        </w:tc>
        <w:tc>
          <w:tcPr>
            <w:tcW w:w="0" w:type="auto"/>
          </w:tcPr>
          <w:p w14:paraId="2B0870EE" w14:textId="77777777" w:rsidR="00085C05" w:rsidRDefault="00000000">
            <w:pPr>
              <w:pStyle w:val="Compact"/>
            </w:pPr>
            <w:r>
              <w:t>Componente/área del repo</w:t>
            </w:r>
          </w:p>
        </w:tc>
        <w:tc>
          <w:tcPr>
            <w:tcW w:w="0" w:type="auto"/>
          </w:tcPr>
          <w:p w14:paraId="7DE1290F" w14:textId="77777777" w:rsidR="00085C05" w:rsidRDefault="00000000">
            <w:pPr>
              <w:pStyle w:val="Compact"/>
            </w:pPr>
            <w:r>
              <w:t>Criterio de salida medible</w:t>
            </w:r>
          </w:p>
        </w:tc>
        <w:tc>
          <w:tcPr>
            <w:tcW w:w="0" w:type="auto"/>
          </w:tcPr>
          <w:p w14:paraId="41F1130B" w14:textId="77777777" w:rsidR="00085C05" w:rsidRDefault="00000000">
            <w:pPr>
              <w:pStyle w:val="Compact"/>
            </w:pPr>
            <w:r>
              <w:t>Evidencia que lo justifica</w:t>
            </w:r>
          </w:p>
        </w:tc>
      </w:tr>
      <w:tr w:rsidR="00085C05" w14:paraId="2CDDE855" w14:textId="77777777">
        <w:tc>
          <w:tcPr>
            <w:tcW w:w="0" w:type="auto"/>
          </w:tcPr>
          <w:p w14:paraId="052F6AB1" w14:textId="77777777" w:rsidR="00085C05" w:rsidRDefault="00000000">
            <w:pPr>
              <w:pStyle w:val="Compact"/>
            </w:pPr>
            <w:r>
              <w:t>Agente de salud documental</w:t>
            </w:r>
          </w:p>
        </w:tc>
        <w:tc>
          <w:tcPr>
            <w:tcW w:w="0" w:type="auto"/>
          </w:tcPr>
          <w:p w14:paraId="071CCB37" w14:textId="77777777" w:rsidR="00085C05" w:rsidRDefault="00000000">
            <w:pPr>
              <w:pStyle w:val="Compact"/>
            </w:pPr>
            <w:r>
              <w:rPr>
                <w:rStyle w:val="VerbatimChar"/>
              </w:rPr>
              <w:t>DocumentHealthPanel</w:t>
            </w:r>
            <w:r>
              <w:t xml:space="preserve"> + capa agentes</w:t>
            </w:r>
          </w:p>
        </w:tc>
        <w:tc>
          <w:tcPr>
            <w:tcW w:w="0" w:type="auto"/>
          </w:tcPr>
          <w:p w14:paraId="76ACB852" w14:textId="77777777" w:rsidR="00085C05" w:rsidRDefault="00000000">
            <w:pPr>
              <w:pStyle w:val="Compact"/>
            </w:pPr>
            <w:r>
              <w:t>≥70% de violaciones comunes con fix propuesto; tasa de aceptación medida</w:t>
            </w:r>
          </w:p>
        </w:tc>
        <w:tc>
          <w:tcPr>
            <w:tcW w:w="0" w:type="auto"/>
          </w:tcPr>
          <w:p w14:paraId="5B281C98" w14:textId="77777777" w:rsidR="00085C05" w:rsidRDefault="00000000">
            <w:pPr>
              <w:pStyle w:val="Compact"/>
            </w:pPr>
            <w:r>
              <w:t xml:space="preserve">Agentes de copyedit/fact-check como patrón 2026 </w:t>
            </w:r>
            <w:r>
              <w:fldChar w:fldCharType="begin"/>
            </w:r>
            <w:r>
              <w:instrText>NOTEREF _Ref_Footnote_40 \h \f</w:instrText>
            </w:r>
            <w:r>
              <w:fldChar w:fldCharType="separate"/>
            </w:r>
            <w:r>
              <w:rPr>
                <w:vertAlign w:val="superscript"/>
              </w:rPr>
              <w:t>40</w:t>
            </w:r>
            <w:r>
              <w:fldChar w:fldCharType="end"/>
            </w:r>
            <w:r>
              <w:t xml:space="preserve"> </w:t>
            </w:r>
            <w:r>
              <w:fldChar w:fldCharType="begin"/>
            </w:r>
            <w:r>
              <w:instrText>NOTEREF _Ref_Footnote_8 \h \f</w:instrText>
            </w:r>
            <w:r>
              <w:fldChar w:fldCharType="separate"/>
            </w:r>
            <w:r>
              <w:t>8</w:t>
            </w:r>
            <w:r>
              <w:fldChar w:fldCharType="end"/>
            </w:r>
          </w:p>
        </w:tc>
      </w:tr>
      <w:tr w:rsidR="00085C05" w14:paraId="69E2F1D5" w14:textId="77777777">
        <w:tc>
          <w:tcPr>
            <w:tcW w:w="0" w:type="auto"/>
          </w:tcPr>
          <w:p w14:paraId="5826DB0C" w14:textId="77777777" w:rsidR="00085C05" w:rsidRDefault="00000000">
            <w:pPr>
              <w:pStyle w:val="Compact"/>
            </w:pPr>
            <w:r>
              <w:t>Agente de coherencia refs/TOC</w:t>
            </w:r>
          </w:p>
        </w:tc>
        <w:tc>
          <w:tcPr>
            <w:tcW w:w="0" w:type="auto"/>
          </w:tcPr>
          <w:p w14:paraId="65AE30DA" w14:textId="77777777" w:rsidR="00085C05" w:rsidRDefault="00000000">
            <w:pPr>
              <w:pStyle w:val="Compact"/>
            </w:pPr>
            <w:r>
              <w:t>Compose engine, refs vivas</w:t>
            </w:r>
          </w:p>
        </w:tc>
        <w:tc>
          <w:tcPr>
            <w:tcW w:w="0" w:type="auto"/>
          </w:tcPr>
          <w:p w14:paraId="6694FEB3" w14:textId="77777777" w:rsidR="00085C05" w:rsidRDefault="00000000">
            <w:pPr>
              <w:pStyle w:val="Compact"/>
            </w:pPr>
            <w:r>
              <w:t>Detección de incoherencias estructurales con recall ≥90% en corpus de test</w:t>
            </w:r>
          </w:p>
        </w:tc>
        <w:tc>
          <w:tcPr>
            <w:tcW w:w="0" w:type="auto"/>
          </w:tcPr>
          <w:p w14:paraId="7CFBFB41" w14:textId="77777777" w:rsidR="00085C05" w:rsidRDefault="00000000">
            <w:pPr>
              <w:pStyle w:val="Compact"/>
            </w:pPr>
            <w:r>
              <w:t xml:space="preserve">Incoherencia entre capítulos, fallo nº1 de generadores </w:t>
            </w:r>
            <w:r>
              <w:fldChar w:fldCharType="begin"/>
            </w:r>
            <w:r>
              <w:instrText>NOTEREF _Ref_Footnote_52 \h \f</w:instrText>
            </w:r>
            <w:r>
              <w:fldChar w:fldCharType="separate"/>
            </w:r>
            <w:r>
              <w:rPr>
                <w:vertAlign w:val="superscript"/>
              </w:rPr>
              <w:t>52</w:t>
            </w:r>
            <w:r>
              <w:fldChar w:fldCharType="end"/>
            </w:r>
          </w:p>
        </w:tc>
      </w:tr>
      <w:tr w:rsidR="00085C05" w14:paraId="116DDFF7" w14:textId="77777777">
        <w:tc>
          <w:tcPr>
            <w:tcW w:w="0" w:type="auto"/>
          </w:tcPr>
          <w:p w14:paraId="42647715" w14:textId="77777777" w:rsidR="00085C05" w:rsidRDefault="00000000">
            <w:pPr>
              <w:pStyle w:val="Compact"/>
            </w:pPr>
            <w:r>
              <w:t>Co-autor multiagente con gates</w:t>
            </w:r>
          </w:p>
        </w:tc>
        <w:tc>
          <w:tcPr>
            <w:tcW w:w="0" w:type="auto"/>
          </w:tcPr>
          <w:p w14:paraId="23394064" w14:textId="77777777" w:rsidR="00085C05" w:rsidRDefault="00000000">
            <w:pPr>
              <w:pStyle w:val="Compact"/>
            </w:pPr>
            <w:r>
              <w:rPr>
                <w:rStyle w:val="VerbatimChar"/>
              </w:rPr>
              <w:t>AIAssistant</w:t>
            </w:r>
            <w:r>
              <w:t xml:space="preserve"> → sistema orquestado</w:t>
            </w:r>
          </w:p>
        </w:tc>
        <w:tc>
          <w:tcPr>
            <w:tcW w:w="0" w:type="auto"/>
          </w:tcPr>
          <w:p w14:paraId="6667F50C" w14:textId="77777777" w:rsidR="00085C05" w:rsidRDefault="00000000">
            <w:pPr>
              <w:pStyle w:val="Compact"/>
            </w:pPr>
            <w:r>
              <w:t>100% de cambios IA como diff aceptable/rechazable; 0 escritura directa</w:t>
            </w:r>
          </w:p>
        </w:tc>
        <w:tc>
          <w:tcPr>
            <w:tcW w:w="0" w:type="auto"/>
          </w:tcPr>
          <w:p w14:paraId="3D30BA75" w14:textId="77777777" w:rsidR="00085C05" w:rsidRDefault="00000000">
            <w:pPr>
              <w:pStyle w:val="Compact"/>
            </w:pPr>
            <w:r>
              <w:t xml:space="preserve">Flujo review/accept/reject mayoritario </w:t>
            </w:r>
            <w:r>
              <w:fldChar w:fldCharType="begin"/>
            </w:r>
            <w:r>
              <w:instrText>NOTEREF _Ref_Footnote_13 \h \f</w:instrText>
            </w:r>
            <w:r>
              <w:fldChar w:fldCharType="separate"/>
            </w:r>
            <w:r>
              <w:rPr>
                <w:vertAlign w:val="superscript"/>
              </w:rPr>
              <w:t>13</w:t>
            </w:r>
            <w:r>
              <w:fldChar w:fldCharType="end"/>
            </w:r>
            <w:r>
              <w:t xml:space="preserve">; multiagente con gates </w:t>
            </w:r>
            <w:r>
              <w:fldChar w:fldCharType="begin"/>
            </w:r>
            <w:r>
              <w:instrText>NOTEREF _Ref_Footnote_2 \h \f</w:instrText>
            </w:r>
            <w:r>
              <w:fldChar w:fldCharType="separate"/>
            </w:r>
            <w:r>
              <w:t>2</w:t>
            </w:r>
            <w:r>
              <w:fldChar w:fldCharType="end"/>
            </w:r>
            <w:r>
              <w:t xml:space="preserve"> </w:t>
            </w:r>
            <w:r>
              <w:fldChar w:fldCharType="begin"/>
            </w:r>
            <w:r>
              <w:instrText>NOTEREF _Ref_Footnote_40 \h \f</w:instrText>
            </w:r>
            <w:r>
              <w:fldChar w:fldCharType="separate"/>
            </w:r>
            <w:r>
              <w:rPr>
                <w:vertAlign w:val="superscript"/>
              </w:rPr>
              <w:t>40</w:t>
            </w:r>
            <w:r>
              <w:fldChar w:fldCharType="end"/>
            </w:r>
          </w:p>
        </w:tc>
      </w:tr>
      <w:tr w:rsidR="00085C05" w14:paraId="3EC0B3EC" w14:textId="77777777">
        <w:tc>
          <w:tcPr>
            <w:tcW w:w="0" w:type="auto"/>
          </w:tcPr>
          <w:p w14:paraId="3F35C8D1" w14:textId="77777777" w:rsidR="00085C05" w:rsidRDefault="00000000">
            <w:pPr>
              <w:pStyle w:val="Compact"/>
            </w:pPr>
            <w:r>
              <w:t>Guardián de voz entrenable</w:t>
            </w:r>
          </w:p>
        </w:tc>
        <w:tc>
          <w:tcPr>
            <w:tcW w:w="0" w:type="auto"/>
          </w:tcPr>
          <w:p w14:paraId="0D65DBB6" w14:textId="77777777" w:rsidR="00085C05" w:rsidRDefault="00000000">
            <w:pPr>
              <w:pStyle w:val="Compact"/>
            </w:pPr>
            <w:r>
              <w:t>Perfil de proyecto + agentes</w:t>
            </w:r>
          </w:p>
        </w:tc>
        <w:tc>
          <w:tcPr>
            <w:tcW w:w="0" w:type="auto"/>
          </w:tcPr>
          <w:p w14:paraId="17AA8A2B" w14:textId="77777777" w:rsidR="00085C05" w:rsidRDefault="00000000">
            <w:pPr>
              <w:pStyle w:val="Compact"/>
            </w:pPr>
            <w:r>
              <w:t>Perfil de voz por proyecto aplicado a reescrituras</w:t>
            </w:r>
          </w:p>
        </w:tc>
        <w:tc>
          <w:tcPr>
            <w:tcW w:w="0" w:type="auto"/>
          </w:tcPr>
          <w:p w14:paraId="04835E2E" w14:textId="77777777" w:rsidR="00085C05" w:rsidRDefault="00000000">
            <w:pPr>
              <w:pStyle w:val="Compact"/>
            </w:pPr>
            <w:r>
              <w:t xml:space="preserve">Codex/Brand Voice como precedentes </w:t>
            </w:r>
            <w:r>
              <w:fldChar w:fldCharType="begin"/>
            </w:r>
            <w:r>
              <w:instrText>NOTEREF _Ref_Footnote_60 \h \f</w:instrText>
            </w:r>
            <w:r>
              <w:fldChar w:fldCharType="separate"/>
            </w:r>
            <w:r>
              <w:rPr>
                <w:vertAlign w:val="superscript"/>
              </w:rPr>
              <w:t>60</w:t>
            </w:r>
            <w:r>
              <w:fldChar w:fldCharType="end"/>
            </w:r>
            <w:r>
              <w:t xml:space="preserve"> </w:t>
            </w:r>
            <w:r>
              <w:fldChar w:fldCharType="begin"/>
            </w:r>
            <w:r>
              <w:instrText>NOTEREF _Ref_Footnote_62 \h \f</w:instrText>
            </w:r>
            <w:r>
              <w:fldChar w:fldCharType="separate"/>
            </w:r>
            <w:r>
              <w:rPr>
                <w:vertAlign w:val="superscript"/>
              </w:rPr>
              <w:t>62</w:t>
            </w:r>
            <w:r>
              <w:fldChar w:fldCharType="end"/>
            </w:r>
          </w:p>
        </w:tc>
      </w:tr>
      <w:tr w:rsidR="00085C05" w14:paraId="3ACFF18F" w14:textId="77777777">
        <w:tc>
          <w:tcPr>
            <w:tcW w:w="0" w:type="auto"/>
          </w:tcPr>
          <w:p w14:paraId="01C33AD5" w14:textId="77777777" w:rsidR="00085C05" w:rsidRDefault="00000000">
            <w:pPr>
              <w:pStyle w:val="Compact"/>
            </w:pPr>
            <w:r>
              <w:t>Derivados IA del AST</w:t>
            </w:r>
          </w:p>
        </w:tc>
        <w:tc>
          <w:tcPr>
            <w:tcW w:w="0" w:type="auto"/>
          </w:tcPr>
          <w:p w14:paraId="39B4A58B" w14:textId="77777777" w:rsidR="00085C05" w:rsidRDefault="00000000">
            <w:pPr>
              <w:pStyle w:val="Compact"/>
            </w:pPr>
            <w:r>
              <w:rPr>
                <w:rStyle w:val="VerbatimChar"/>
              </w:rPr>
              <w:t>ExportJob</w:t>
            </w:r>
            <w:r>
              <w:t xml:space="preserve"> + agentes</w:t>
            </w:r>
          </w:p>
        </w:tc>
        <w:tc>
          <w:tcPr>
            <w:tcW w:w="0" w:type="auto"/>
          </w:tcPr>
          <w:p w14:paraId="623F86C2" w14:textId="77777777" w:rsidR="00085C05" w:rsidRDefault="00000000">
            <w:pPr>
              <w:pStyle w:val="Compact"/>
            </w:pPr>
            <w:r>
              <w:t>Resumen/lead magnet generado desde AST con aprobación humana</w:t>
            </w:r>
          </w:p>
        </w:tc>
        <w:tc>
          <w:tcPr>
            <w:tcW w:w="0" w:type="auto"/>
          </w:tcPr>
          <w:p w14:paraId="3A21B956" w14:textId="77777777" w:rsidR="00085C05" w:rsidRDefault="00000000">
            <w:pPr>
              <w:pStyle w:val="Compact"/>
            </w:pPr>
            <w:r>
              <w:t xml:space="preserve">Derivados del plan original </w:t>
            </w:r>
            <w:r>
              <w:fldChar w:fldCharType="begin"/>
            </w:r>
            <w:r>
              <w:instrText>NOTEREF _Ref_Footnote_2 \h \f</w:instrText>
            </w:r>
            <w:r>
              <w:fldChar w:fldCharType="separate"/>
            </w:r>
            <w:r>
              <w:t>2</w:t>
            </w:r>
            <w:r>
              <w:fldChar w:fldCharType="end"/>
            </w:r>
          </w:p>
        </w:tc>
      </w:tr>
      <w:tr w:rsidR="00085C05" w14:paraId="6A20AA19" w14:textId="77777777">
        <w:tc>
          <w:tcPr>
            <w:tcW w:w="0" w:type="auto"/>
          </w:tcPr>
          <w:p w14:paraId="5672C234" w14:textId="77777777" w:rsidR="00085C05" w:rsidRDefault="00000000">
            <w:pPr>
              <w:pStyle w:val="Compact"/>
            </w:pPr>
            <w:r>
              <w:t>Registro de procedencia por bloque</w:t>
            </w:r>
          </w:p>
        </w:tc>
        <w:tc>
          <w:tcPr>
            <w:tcW w:w="0" w:type="auto"/>
          </w:tcPr>
          <w:p w14:paraId="0B913B22" w14:textId="77777777" w:rsidR="00085C05" w:rsidRDefault="00000000">
            <w:pPr>
              <w:pStyle w:val="Compact"/>
            </w:pPr>
            <w:r>
              <w:t>AST + changeset</w:t>
            </w:r>
          </w:p>
        </w:tc>
        <w:tc>
          <w:tcPr>
            <w:tcW w:w="0" w:type="auto"/>
          </w:tcPr>
          <w:p w14:paraId="5D962C97" w14:textId="77777777" w:rsidR="00085C05" w:rsidRDefault="00000000">
            <w:pPr>
              <w:pStyle w:val="Compact"/>
            </w:pPr>
            <w:r>
              <w:t>100% de bloques etiquetados humano/IA</w:t>
            </w:r>
          </w:p>
        </w:tc>
        <w:tc>
          <w:tcPr>
            <w:tcW w:w="0" w:type="auto"/>
          </w:tcPr>
          <w:p w14:paraId="65398142" w14:textId="77777777" w:rsidR="00085C05" w:rsidRDefault="00000000">
            <w:pPr>
              <w:pStyle w:val="Compact"/>
            </w:pPr>
            <w:r>
              <w:t xml:space="preserve">Disclosure obligatorio de KDP </w:t>
            </w:r>
            <w:r>
              <w:fldChar w:fldCharType="begin"/>
            </w:r>
            <w:r>
              <w:instrText>NOTEREF _Ref_Footnote_54 \h \f</w:instrText>
            </w:r>
            <w:r>
              <w:fldChar w:fldCharType="separate"/>
            </w:r>
            <w:r>
              <w:rPr>
                <w:vertAlign w:val="superscript"/>
              </w:rPr>
              <w:t>54</w:t>
            </w:r>
            <w:r>
              <w:fldChar w:fldCharType="end"/>
            </w:r>
            <w:r>
              <w:t xml:space="preserve"> </w:t>
            </w:r>
            <w:r>
              <w:fldChar w:fldCharType="begin"/>
            </w:r>
            <w:r>
              <w:instrText>NOTEREF _Ref_Footnote_79 \h \f</w:instrText>
            </w:r>
            <w:r>
              <w:fldChar w:fldCharType="separate"/>
            </w:r>
            <w:r>
              <w:rPr>
                <w:vertAlign w:val="superscript"/>
              </w:rPr>
              <w:t>79</w:t>
            </w:r>
            <w:r>
              <w:fldChar w:fldCharType="end"/>
            </w:r>
          </w:p>
        </w:tc>
      </w:tr>
      <w:tr w:rsidR="00085C05" w14:paraId="0F3A8DB5" w14:textId="77777777">
        <w:tc>
          <w:tcPr>
            <w:tcW w:w="0" w:type="auto"/>
          </w:tcPr>
          <w:p w14:paraId="022A7B38" w14:textId="77777777" w:rsidR="00085C05" w:rsidRDefault="00000000">
            <w:pPr>
              <w:pStyle w:val="Compact"/>
            </w:pPr>
            <w:r>
              <w:t>Disclosure KDP automático</w:t>
            </w:r>
          </w:p>
        </w:tc>
        <w:tc>
          <w:tcPr>
            <w:tcW w:w="0" w:type="auto"/>
          </w:tcPr>
          <w:p w14:paraId="32C5C9AB" w14:textId="77777777" w:rsidR="00085C05" w:rsidRDefault="00000000">
            <w:pPr>
              <w:pStyle w:val="Compact"/>
            </w:pPr>
            <w:r>
              <w:t>Export + metadatos</w:t>
            </w:r>
          </w:p>
        </w:tc>
        <w:tc>
          <w:tcPr>
            <w:tcW w:w="0" w:type="auto"/>
          </w:tcPr>
          <w:p w14:paraId="68D6730C" w14:textId="77777777" w:rsidR="00085C05" w:rsidRDefault="00000000">
            <w:pPr>
              <w:pStyle w:val="Compact"/>
            </w:pPr>
            <w:r>
              <w:t>Disclosure generado en cada export con contenido IA</w:t>
            </w:r>
          </w:p>
        </w:tc>
        <w:tc>
          <w:tcPr>
            <w:tcW w:w="0" w:type="auto"/>
          </w:tcPr>
          <w:p w14:paraId="0608809C" w14:textId="77777777" w:rsidR="00085C05" w:rsidRDefault="00000000">
            <w:pPr>
              <w:pStyle w:val="Compact"/>
            </w:pPr>
            <w:r>
              <w:t xml:space="preserve">74% no declara; enforcement endurecido </w:t>
            </w:r>
            <w:r>
              <w:fldChar w:fldCharType="begin"/>
            </w:r>
            <w:r>
              <w:instrText>NOTEREF _Ref_Footnote_13 \h \f</w:instrText>
            </w:r>
            <w:r>
              <w:fldChar w:fldCharType="separate"/>
            </w:r>
            <w:r>
              <w:rPr>
                <w:vertAlign w:val="superscript"/>
              </w:rPr>
              <w:t>13</w:t>
            </w:r>
            <w:r>
              <w:fldChar w:fldCharType="end"/>
            </w:r>
            <w:r>
              <w:t xml:space="preserve"> </w:t>
            </w:r>
            <w:r>
              <w:fldChar w:fldCharType="begin"/>
            </w:r>
            <w:r>
              <w:instrText>NOTEREF _Ref_Footnote_55 \h \f</w:instrText>
            </w:r>
            <w:r>
              <w:fldChar w:fldCharType="separate"/>
            </w:r>
            <w:r>
              <w:rPr>
                <w:vertAlign w:val="superscript"/>
              </w:rPr>
              <w:t>55</w:t>
            </w:r>
            <w:r>
              <w:fldChar w:fldCharType="end"/>
            </w:r>
          </w:p>
        </w:tc>
      </w:tr>
    </w:tbl>
    <w:p w14:paraId="545B1299" w14:textId="77777777" w:rsidR="00085C05" w:rsidRDefault="00000000">
      <w:pPr>
        <w:pStyle w:val="BodyText"/>
      </w:pPr>
      <w:r>
        <w:t xml:space="preserve">La tabla ordena la capa IA por dependencia de credibilidad, no por espectacularidad. El agente de salud va primero porque hereda la confianza del panel: un usuario que ya cree en las violaciones aceptará sus fixes; un co-autor lanzado antes de ese track record sería percibido como un generador más, y el mercado castiga a los generadores con devoluciones y backlash </w:t>
      </w:r>
      <w:r>
        <w:fldChar w:fldCharType="begin"/>
      </w:r>
      <w:r>
        <w:instrText>NOTEREF _Ref_Footnote_53 \h \f</w:instrText>
      </w:r>
      <w:r>
        <w:fldChar w:fldCharType="separate"/>
      </w:r>
      <w:r>
        <w:rPr>
          <w:vertAlign w:val="superscript"/>
        </w:rPr>
        <w:t>53</w:t>
      </w:r>
      <w:r>
        <w:fldChar w:fldCharType="end"/>
      </w:r>
      <w:r>
        <w:t>. Los criterios de salida están diseñados contra el modo de fallo típico de la IA en producto —escritura silenciosa—; de ahí las métricas duras de “0 escritura directa” y “100% de bloques etiquetados”. La gobernanza es el outlier estratégico: menor coste relativo (el changeset es extensión del modelo, no subsistema nuevo) y máxima defendibilidad, porque exige la infraestructura semántica que los generadores one-click no poseen. Esfuerzo estimado: 14-18 persona-mes.</w:t>
      </w:r>
    </w:p>
    <w:p w14:paraId="44E55A1D" w14:textId="77777777" w:rsidR="00085C05" w:rsidRDefault="00000000">
      <w:pPr>
        <w:pStyle w:val="Heading3"/>
      </w:pPr>
      <w:bookmarkStart w:id="194" w:name="X53a67065b92421929910dafc94befe2a5c0432f"/>
      <w:bookmarkEnd w:id="190"/>
      <w:bookmarkEnd w:id="193"/>
      <w:r>
        <w:t>4.6 Fase 4 — Distribución, colaboración y ecosistema (meses 12-18)</w:t>
      </w:r>
    </w:p>
    <w:p w14:paraId="2DBEDEE8" w14:textId="77777777" w:rsidR="00085C05" w:rsidRDefault="00000000">
      <w:pPr>
        <w:pStyle w:val="FirstParagraph"/>
      </w:pPr>
      <w:r>
        <w:t>Objetivo de negocio: escalar el foso hacia los dos frentes que el mercado deja abiertos —salida a canales de venta y trabajo en equipo— sin dispersar la propuesta.</w:t>
      </w:r>
    </w:p>
    <w:p w14:paraId="0E7A31FE" w14:textId="77777777" w:rsidR="00085C05" w:rsidRDefault="00000000">
      <w:pPr>
        <w:pStyle w:val="Heading4"/>
      </w:pPr>
      <w:bookmarkStart w:id="195" w:name="Xf24c3b0a5b219436b85a4fd9f10fd51fd823d86"/>
      <w:r>
        <w:t>4.6.1 Integraciones de venta: empujar, no convertirse en tienda</w:t>
      </w:r>
    </w:p>
    <w:p w14:paraId="00DC8A3C" w14:textId="77777777" w:rsidR="00085C05" w:rsidRDefault="00000000">
      <w:pPr>
        <w:pStyle w:val="FirstParagraph"/>
      </w:pPr>
      <w:r>
        <w:t xml:space="preserve">La decisión estratégica es no construir checkout: la capa de venta se comoditiza —Gumroad actúa como Merchant of Record desde 2025 y Stripe lanzó Managed Payments, su propio MoR, coexistente con Lemon Squeezy—, así que la diferenciación está en la creación, no en la transacción </w:t>
      </w:r>
      <w:r>
        <w:fldChar w:fldCharType="begin"/>
      </w:r>
      <w:r>
        <w:instrText>NOTEREF _Ref_Footnote_18 \h \f</w:instrText>
      </w:r>
      <w:r>
        <w:fldChar w:fldCharType="separate"/>
      </w:r>
      <w:r>
        <w:rPr>
          <w:vertAlign w:val="superscript"/>
        </w:rPr>
        <w:t>18</w:t>
      </w:r>
      <w:r>
        <w:fldChar w:fldCharType="end"/>
      </w:r>
      <w:r>
        <w:t xml:space="preserve"> </w:t>
      </w:r>
      <w:r>
        <w:fldChar w:fldCharType="begin"/>
      </w:r>
      <w:r>
        <w:instrText>NOTEREF _Ref_Footnote_71 \h \f</w:instrText>
      </w:r>
      <w:r>
        <w:fldChar w:fldCharType="separate"/>
      </w:r>
      <w:r>
        <w:rPr>
          <w:vertAlign w:val="superscript"/>
        </w:rPr>
        <w:t>71</w:t>
      </w:r>
      <w:r>
        <w:fldChar w:fldCharType="end"/>
      </w:r>
      <w:r>
        <w:t xml:space="preserve">. Anclora integra export/push a Gumroad, Hotmart y KDP, y genera paquetes de lanzamiento: ebook y PDF ya validados más las fichas derivadas y el copy de landing extraídos del AST, listos para subir. La prioridad de canal sigue al cliente: Hotmart domina el mercado hispanohablante de infoproductos donde vive el segmento de desembarco, mientras Gumroad y agregadores tipo Draft2Digital cubren venta directa y retail amplio </w:t>
      </w:r>
      <w:r>
        <w:fldChar w:fldCharType="begin"/>
      </w:r>
      <w:r>
        <w:instrText>NOTEREF _Ref_Footnote_84 \h \f</w:instrText>
      </w:r>
      <w:r>
        <w:fldChar w:fldCharType="separate"/>
      </w:r>
      <w:r>
        <w:rPr>
          <w:vertAlign w:val="superscript"/>
        </w:rPr>
        <w:t>84</w:t>
      </w:r>
      <w:r>
        <w:fldChar w:fldCharType="end"/>
      </w:r>
      <w:r>
        <w:t xml:space="preserve"> </w:t>
      </w:r>
      <w:r>
        <w:fldChar w:fldCharType="begin"/>
      </w:r>
      <w:r>
        <w:instrText>NOTEREF _Ref_Footnote_80 \h \f</w:instrText>
      </w:r>
      <w:r>
        <w:fldChar w:fldCharType="separate"/>
      </w:r>
      <w:r>
        <w:rPr>
          <w:vertAlign w:val="superscript"/>
        </w:rPr>
        <w:t>80</w:t>
      </w:r>
      <w:r>
        <w:fldChar w:fldCharType="end"/>
      </w:r>
      <w:r>
        <w:t>. El mensaje se mantiene coherente con la posición de complemento del stack: “crea aquí, vende donde quieras”.</w:t>
      </w:r>
    </w:p>
    <w:p w14:paraId="27AFD2AD" w14:textId="77777777" w:rsidR="00085C05" w:rsidRDefault="00000000">
      <w:pPr>
        <w:pStyle w:val="Heading4"/>
      </w:pPr>
      <w:bookmarkStart w:id="196" w:name="colaboración-por-roles-sobre-el-ast"/>
      <w:bookmarkEnd w:id="195"/>
      <w:r>
        <w:t>4.6.2 Colaboración por roles sobre el AST</w:t>
      </w:r>
    </w:p>
    <w:p w14:paraId="1F31F724" w14:textId="77777777" w:rsidR="00085C05" w:rsidRDefault="00000000">
      <w:pPr>
        <w:pStyle w:val="FirstParagraph"/>
      </w:pPr>
      <w:r>
        <w:t xml:space="preserve">El flujo corrector→autor→maquetador sigue haciéndose por Word, PDF y email porque las herramientas dominantes o no tienen colaboración (Vellum) o cobran el peaje completo por cada colaborador —los $147 de Atticus por asiento—, un resentimiento documentado en reviews </w:t>
      </w:r>
      <w:r>
        <w:rPr>
          <w:vertAlign w:val="superscript"/>
        </w:rPr>
        <w:footnoteReference w:id="141"/>
      </w:r>
      <w:r>
        <w:t xml:space="preserve"> </w:t>
      </w:r>
      <w:r>
        <w:rPr>
          <w:vertAlign w:val="superscript"/>
        </w:rPr>
        <w:footnoteReference w:id="142"/>
      </w:r>
      <w:r>
        <w:t xml:space="preserve"> </w:t>
      </w:r>
      <w:r>
        <w:rPr>
          <w:vertAlign w:val="superscript"/>
        </w:rPr>
        <w:footnoteReference w:id="143"/>
      </w:r>
      <w:r>
        <w:t xml:space="preserve">. Anclora implementa comentarios y corrección por roles (autor, corrector, maquetador) anclados a bloques del AST, de modo que una corrección aceptada recompone el documento al instante sin romper reglas ni índice. La recomposición incremental endurecida en Fase 0 es el prerequisito técnico de la colaboración fluida: GitBook y Typst ya venden co-edición y marcan la expectativa del mercado </w:t>
      </w:r>
      <w:r>
        <w:rPr>
          <w:vertAlign w:val="superscript"/>
        </w:rPr>
        <w:footnoteReference w:id="144"/>
      </w:r>
      <w:r>
        <w:t xml:space="preserve"> </w:t>
      </w:r>
      <w:r>
        <w:rPr>
          <w:vertAlign w:val="superscript"/>
        </w:rPr>
        <w:footnoteReference w:id="145"/>
      </w:r>
      <w:r>
        <w:t>. El pricing de colaboración —corrector invitado sin licencia completa— ataca directamente el peaje de Atticus.</w:t>
      </w:r>
    </w:p>
    <w:p w14:paraId="5AE2D936" w14:textId="77777777" w:rsidR="00085C05" w:rsidRDefault="00000000">
      <w:pPr>
        <w:pStyle w:val="Heading4"/>
      </w:pPr>
      <w:bookmarkStart w:id="202" w:name="Xab16689461a8b97f34ad21a6350276c55a0be84"/>
      <w:bookmarkEnd w:id="196"/>
      <w:r>
        <w:t>4.6.3 Apertura: API de composición y plugins de reglas por nicho</w:t>
      </w:r>
    </w:p>
    <w:p w14:paraId="4BB3C67E" w14:textId="77777777" w:rsidR="00085C05" w:rsidRDefault="00000000">
      <w:pPr>
        <w:pStyle w:val="FirstParagraph"/>
      </w:pPr>
      <w:r>
        <w:t xml:space="preserve">La última pieza externaliza el motor. Una API de composición y exportación permite a terceros componer documentos gobernados por reglas desde sus aplicaciones, y un sistema de plugins de reglas por nicho —manuales técnicos, fotografía, formación— convierte el DSL visual en plataforma extensible siguiendo el principio de composabilidad que Typst formula como “pocos mecanismos combinables, no un paquete para cada cosa” </w:t>
      </w:r>
      <w:r>
        <w:rPr>
          <w:vertAlign w:val="superscript"/>
        </w:rPr>
        <w:footnoteReference w:id="146"/>
      </w:r>
      <w:r>
        <w:t>. Es la fase de efectos de red y, por tanto, la última: abrir una API antes de tener usuarios que la demanden sería construir para un ecosistema imaginario.</w:t>
      </w:r>
    </w:p>
    <w:p w14:paraId="4AD2B813" w14:textId="77777777" w:rsidR="00085C05" w:rsidRDefault="00000000">
      <w:pPr>
        <w:pStyle w:val="Heading3"/>
      </w:pPr>
      <w:bookmarkStart w:id="204" w:name="matriz-esfuerzoimpacto-y-secuenciación"/>
      <w:bookmarkEnd w:id="194"/>
      <w:bookmarkEnd w:id="202"/>
      <w:r>
        <w:t>4.7 Matriz esfuerzo/impacto y secuenciación</w:t>
      </w:r>
    </w:p>
    <w:p w14:paraId="10EC84C0" w14:textId="77777777" w:rsidR="00085C05" w:rsidRDefault="00000000">
      <w:pPr>
        <w:pStyle w:val="Heading4"/>
      </w:pPr>
      <w:bookmarkStart w:id="205" w:name="tabla-consolidada-de-fases"/>
      <w:r>
        <w:t>4.7.1 Tabla consolidada de fases</w:t>
      </w:r>
    </w:p>
    <w:p w14:paraId="5CAD770A" w14:textId="77777777" w:rsidR="00085C05" w:rsidRDefault="00000000">
      <w:pPr>
        <w:pStyle w:val="FirstParagraph"/>
      </w:pPr>
      <w:r>
        <w:rPr>
          <w:b/>
          <w:bCs/>
        </w:rPr>
        <w:t>Tabla 6. Matriz consolidada: objetivo, entregables, criterios de salida, esfuerzo, impacto y dependencias por fase</w:t>
      </w:r>
    </w:p>
    <w:tbl>
      <w:tblPr>
        <w:tblStyle w:val="Table"/>
        <w:tblW w:w="5000" w:type="pct"/>
        <w:tblLook w:val="0020" w:firstRow="1" w:lastRow="0" w:firstColumn="0" w:lastColumn="0" w:noHBand="0" w:noVBand="0"/>
      </w:tblPr>
      <w:tblGrid>
        <w:gridCol w:w="1157"/>
        <w:gridCol w:w="842"/>
        <w:gridCol w:w="960"/>
        <w:gridCol w:w="1776"/>
        <w:gridCol w:w="1140"/>
        <w:gridCol w:w="828"/>
        <w:gridCol w:w="1179"/>
        <w:gridCol w:w="1172"/>
      </w:tblGrid>
      <w:tr w:rsidR="00085C05" w14:paraId="481EBC46"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05BCAACE" w14:textId="77777777" w:rsidR="00085C05" w:rsidRDefault="00000000">
            <w:pPr>
              <w:pStyle w:val="Compact"/>
            </w:pPr>
            <w:r>
              <w:t>Fase</w:t>
            </w:r>
          </w:p>
        </w:tc>
        <w:tc>
          <w:tcPr>
            <w:tcW w:w="0" w:type="auto"/>
          </w:tcPr>
          <w:p w14:paraId="31F15117" w14:textId="77777777" w:rsidR="00085C05" w:rsidRDefault="00000000">
            <w:pPr>
              <w:pStyle w:val="Compact"/>
            </w:pPr>
            <w:r>
              <w:t>Horizonte</w:t>
            </w:r>
          </w:p>
        </w:tc>
        <w:tc>
          <w:tcPr>
            <w:tcW w:w="0" w:type="auto"/>
          </w:tcPr>
          <w:p w14:paraId="11C0B84C" w14:textId="77777777" w:rsidR="00085C05" w:rsidRDefault="00000000">
            <w:pPr>
              <w:pStyle w:val="Compact"/>
            </w:pPr>
            <w:r>
              <w:t>Objetivo de negocio</w:t>
            </w:r>
          </w:p>
        </w:tc>
        <w:tc>
          <w:tcPr>
            <w:tcW w:w="0" w:type="auto"/>
          </w:tcPr>
          <w:p w14:paraId="296B0664" w14:textId="77777777" w:rsidR="00085C05" w:rsidRDefault="00000000">
            <w:pPr>
              <w:pStyle w:val="Compact"/>
            </w:pPr>
            <w:r>
              <w:t>Entregables clave</w:t>
            </w:r>
          </w:p>
        </w:tc>
        <w:tc>
          <w:tcPr>
            <w:tcW w:w="0" w:type="auto"/>
          </w:tcPr>
          <w:p w14:paraId="09E0E873" w14:textId="77777777" w:rsidR="00085C05" w:rsidRDefault="00000000">
            <w:pPr>
              <w:pStyle w:val="Compact"/>
            </w:pPr>
            <w:r>
              <w:t>Criterio de salida go/no-go</w:t>
            </w:r>
          </w:p>
        </w:tc>
        <w:tc>
          <w:tcPr>
            <w:tcW w:w="0" w:type="auto"/>
          </w:tcPr>
          <w:p w14:paraId="14422726" w14:textId="77777777" w:rsidR="00085C05" w:rsidRDefault="00000000">
            <w:pPr>
              <w:pStyle w:val="Compact"/>
            </w:pPr>
            <w:r>
              <w:t>Esfuerzo (persona-mes)</w:t>
            </w:r>
          </w:p>
        </w:tc>
        <w:tc>
          <w:tcPr>
            <w:tcW w:w="0" w:type="auto"/>
          </w:tcPr>
          <w:p w14:paraId="48E48617" w14:textId="77777777" w:rsidR="00085C05" w:rsidRDefault="00000000">
            <w:pPr>
              <w:pStyle w:val="Compact"/>
            </w:pPr>
            <w:r>
              <w:t>Impacto</w:t>
            </w:r>
          </w:p>
        </w:tc>
        <w:tc>
          <w:tcPr>
            <w:tcW w:w="0" w:type="auto"/>
          </w:tcPr>
          <w:p w14:paraId="01F8FD6C" w14:textId="77777777" w:rsidR="00085C05" w:rsidRDefault="00000000">
            <w:pPr>
              <w:pStyle w:val="Compact"/>
            </w:pPr>
            <w:r>
              <w:t>Dependencias</w:t>
            </w:r>
          </w:p>
        </w:tc>
      </w:tr>
      <w:tr w:rsidR="00085C05" w14:paraId="5FCCD51A" w14:textId="77777777">
        <w:tc>
          <w:tcPr>
            <w:tcW w:w="0" w:type="auto"/>
          </w:tcPr>
          <w:p w14:paraId="5E29B16E" w14:textId="77777777" w:rsidR="00085C05" w:rsidRDefault="00000000">
            <w:pPr>
              <w:pStyle w:val="Compact"/>
            </w:pPr>
            <w:r>
              <w:t>0 — Productización del motor</w:t>
            </w:r>
          </w:p>
        </w:tc>
        <w:tc>
          <w:tcPr>
            <w:tcW w:w="0" w:type="auto"/>
          </w:tcPr>
          <w:p w14:paraId="0088BE4E" w14:textId="77777777" w:rsidR="00085C05" w:rsidRDefault="00000000">
            <w:pPr>
              <w:pStyle w:val="Compact"/>
            </w:pPr>
            <w:r>
              <w:t>Meses 1-2</w:t>
            </w:r>
          </w:p>
        </w:tc>
        <w:tc>
          <w:tcPr>
            <w:tcW w:w="0" w:type="auto"/>
          </w:tcPr>
          <w:p w14:paraId="18F954AF" w14:textId="77777777" w:rsidR="00085C05" w:rsidRDefault="00000000">
            <w:pPr>
              <w:pStyle w:val="Compact"/>
            </w:pPr>
            <w:r>
              <w:t>Convertir el diferencial invisible en razón de compra</w:t>
            </w:r>
          </w:p>
        </w:tc>
        <w:tc>
          <w:tcPr>
            <w:tcW w:w="0" w:type="auto"/>
          </w:tcPr>
          <w:p w14:paraId="303286B5" w14:textId="77777777" w:rsidR="00085C05" w:rsidRDefault="00000000">
            <w:pPr>
              <w:pStyle w:val="Compact"/>
            </w:pPr>
            <w:r>
              <w:t>Onboarding nunca-más, presets narrados, undo de diffs, hardening, telemetría</w:t>
            </w:r>
          </w:p>
        </w:tc>
        <w:tc>
          <w:tcPr>
            <w:tcW w:w="0" w:type="auto"/>
          </w:tcPr>
          <w:p w14:paraId="1D669786" w14:textId="77777777" w:rsidR="00085C05" w:rsidRDefault="00000000">
            <w:pPr>
              <w:pStyle w:val="Compact"/>
            </w:pPr>
            <w:r>
              <w:t>Activación ≥60% en &lt;10 min; p95 recomposición &lt;300 ms en producción</w:t>
            </w:r>
          </w:p>
        </w:tc>
        <w:tc>
          <w:tcPr>
            <w:tcW w:w="0" w:type="auto"/>
          </w:tcPr>
          <w:p w14:paraId="03CFAFA3" w14:textId="77777777" w:rsidR="00085C05" w:rsidRDefault="00000000">
            <w:pPr>
              <w:pStyle w:val="Compact"/>
            </w:pPr>
            <w:r>
              <w:t>4-6</w:t>
            </w:r>
          </w:p>
        </w:tc>
        <w:tc>
          <w:tcPr>
            <w:tcW w:w="0" w:type="auto"/>
          </w:tcPr>
          <w:p w14:paraId="5191A1AB" w14:textId="77777777" w:rsidR="00085C05" w:rsidRDefault="00000000">
            <w:pPr>
              <w:pStyle w:val="Compact"/>
            </w:pPr>
            <w:r>
              <w:t>Alto (habilita todo lo demás)</w:t>
            </w:r>
          </w:p>
        </w:tc>
        <w:tc>
          <w:tcPr>
            <w:tcW w:w="0" w:type="auto"/>
          </w:tcPr>
          <w:p w14:paraId="5AF40E13" w14:textId="77777777" w:rsidR="00085C05" w:rsidRDefault="00000000">
            <w:pPr>
              <w:pStyle w:val="Compact"/>
            </w:pPr>
            <w:r>
              <w:t>Ninguna: código existente</w:t>
            </w:r>
          </w:p>
        </w:tc>
      </w:tr>
      <w:tr w:rsidR="00085C05" w14:paraId="25A4D3C4" w14:textId="77777777">
        <w:tc>
          <w:tcPr>
            <w:tcW w:w="0" w:type="auto"/>
          </w:tcPr>
          <w:p w14:paraId="50183D5B" w14:textId="77777777" w:rsidR="00085C05" w:rsidRDefault="00000000">
            <w:pPr>
              <w:pStyle w:val="Compact"/>
            </w:pPr>
            <w:r>
              <w:t>1 — EPUB y pre-flight</w:t>
            </w:r>
          </w:p>
        </w:tc>
        <w:tc>
          <w:tcPr>
            <w:tcW w:w="0" w:type="auto"/>
          </w:tcPr>
          <w:p w14:paraId="4CF6B003" w14:textId="77777777" w:rsidR="00085C05" w:rsidRDefault="00000000">
            <w:pPr>
              <w:pStyle w:val="Compact"/>
            </w:pPr>
            <w:r>
              <w:t>Meses 2-4</w:t>
            </w:r>
          </w:p>
        </w:tc>
        <w:tc>
          <w:tcPr>
            <w:tcW w:w="0" w:type="auto"/>
          </w:tcPr>
          <w:p w14:paraId="2ECB48C5" w14:textId="77777777" w:rsidR="00085C05" w:rsidRDefault="00000000">
            <w:pPr>
              <w:pStyle w:val="Compact"/>
            </w:pPr>
            <w:r>
              <w:t>Elegibilidad para el canal dominante de venta</w:t>
            </w:r>
          </w:p>
        </w:tc>
        <w:tc>
          <w:tcPr>
            <w:tcW w:w="0" w:type="auto"/>
          </w:tcPr>
          <w:p w14:paraId="47B373B3" w14:textId="77777777" w:rsidR="00085C05" w:rsidRDefault="00000000">
            <w:pPr>
              <w:pStyle w:val="Compact"/>
            </w:pPr>
            <w:r>
              <w:t>EPUB 3 + EPUBCheck en CI, pre-flight por canal, PDF print-ready</w:t>
            </w:r>
          </w:p>
        </w:tc>
        <w:tc>
          <w:tcPr>
            <w:tcW w:w="0" w:type="auto"/>
          </w:tcPr>
          <w:p w14:paraId="4A6A7477" w14:textId="77777777" w:rsidR="00085C05" w:rsidRDefault="00000000">
            <w:pPr>
              <w:pStyle w:val="Compact"/>
            </w:pPr>
            <w:r>
              <w:t>100% exports EPUBCheck-válidos; checklist por canal operativo</w:t>
            </w:r>
          </w:p>
        </w:tc>
        <w:tc>
          <w:tcPr>
            <w:tcW w:w="0" w:type="auto"/>
          </w:tcPr>
          <w:p w14:paraId="7102DC48" w14:textId="77777777" w:rsidR="00085C05" w:rsidRDefault="00000000">
            <w:pPr>
              <w:pStyle w:val="Compact"/>
            </w:pPr>
            <w:r>
              <w:t>6-8</w:t>
            </w:r>
          </w:p>
        </w:tc>
        <w:tc>
          <w:tcPr>
            <w:tcW w:w="0" w:type="auto"/>
          </w:tcPr>
          <w:p w14:paraId="15C9BB4F" w14:textId="77777777" w:rsidR="00085C05" w:rsidRDefault="00000000">
            <w:pPr>
              <w:pStyle w:val="Compact"/>
            </w:pPr>
            <w:r>
              <w:t>Muy alto (ticket de entrada)</w:t>
            </w:r>
          </w:p>
        </w:tc>
        <w:tc>
          <w:tcPr>
            <w:tcW w:w="0" w:type="auto"/>
          </w:tcPr>
          <w:p w14:paraId="772370A1" w14:textId="77777777" w:rsidR="00085C05" w:rsidRDefault="00000000">
            <w:pPr>
              <w:pStyle w:val="Compact"/>
            </w:pPr>
            <w:r>
              <w:t>Fase 0 (estabilidad del pipeline)</w:t>
            </w:r>
          </w:p>
        </w:tc>
      </w:tr>
      <w:tr w:rsidR="00085C05" w14:paraId="0F12F278" w14:textId="77777777">
        <w:tc>
          <w:tcPr>
            <w:tcW w:w="0" w:type="auto"/>
          </w:tcPr>
          <w:p w14:paraId="3F5CC2AC" w14:textId="77777777" w:rsidR="00085C05" w:rsidRDefault="00000000">
            <w:pPr>
              <w:pStyle w:val="Compact"/>
            </w:pPr>
            <w:r>
              <w:t>2 — Producto compuesto y multi-formato</w:t>
            </w:r>
          </w:p>
        </w:tc>
        <w:tc>
          <w:tcPr>
            <w:tcW w:w="0" w:type="auto"/>
          </w:tcPr>
          <w:p w14:paraId="64A50A5D" w14:textId="77777777" w:rsidR="00085C05" w:rsidRDefault="00000000">
            <w:pPr>
              <w:pStyle w:val="Compact"/>
            </w:pPr>
            <w:r>
              <w:t>Meses 4-8</w:t>
            </w:r>
          </w:p>
        </w:tc>
        <w:tc>
          <w:tcPr>
            <w:tcW w:w="0" w:type="auto"/>
          </w:tcPr>
          <w:p w14:paraId="2A8B6F5F" w14:textId="77777777" w:rsidR="00085C05" w:rsidRDefault="00000000">
            <w:pPr>
              <w:pStyle w:val="Compact"/>
            </w:pPr>
            <w:r>
              <w:t>Aumentar valor por cuenta: del libro al pack</w:t>
            </w:r>
          </w:p>
        </w:tc>
        <w:tc>
          <w:tcPr>
            <w:tcW w:w="0" w:type="auto"/>
          </w:tcPr>
          <w:p w14:paraId="423C6455" w14:textId="77777777" w:rsidR="00085C05" w:rsidRDefault="00000000">
            <w:pPr>
              <w:pStyle w:val="Compact"/>
            </w:pPr>
            <w:r>
              <w:t>5 plantillas, export coordinado con versionado, mapa editorial, historial de versiones</w:t>
            </w:r>
          </w:p>
        </w:tc>
        <w:tc>
          <w:tcPr>
            <w:tcW w:w="0" w:type="auto"/>
          </w:tcPr>
          <w:p w14:paraId="21E1DC09" w14:textId="77777777" w:rsidR="00085C05" w:rsidRDefault="00000000">
            <w:pPr>
              <w:pStyle w:val="Compact"/>
            </w:pPr>
            <w:r>
              <w:t>Time-to-first-draft &lt;30 min por plantilla; activos obsoletos detectados</w:t>
            </w:r>
          </w:p>
        </w:tc>
        <w:tc>
          <w:tcPr>
            <w:tcW w:w="0" w:type="auto"/>
          </w:tcPr>
          <w:p w14:paraId="70C2FFDC" w14:textId="77777777" w:rsidR="00085C05" w:rsidRDefault="00000000">
            <w:pPr>
              <w:pStyle w:val="Compact"/>
            </w:pPr>
            <w:r>
              <w:t>12-16</w:t>
            </w:r>
          </w:p>
        </w:tc>
        <w:tc>
          <w:tcPr>
            <w:tcW w:w="0" w:type="auto"/>
          </w:tcPr>
          <w:p w14:paraId="03DE9CC7" w14:textId="77777777" w:rsidR="00085C05" w:rsidRDefault="00000000">
            <w:pPr>
              <w:pStyle w:val="Compact"/>
            </w:pPr>
            <w:r>
              <w:t>Alto (expansión de cuenta)</w:t>
            </w:r>
          </w:p>
        </w:tc>
        <w:tc>
          <w:tcPr>
            <w:tcW w:w="0" w:type="auto"/>
          </w:tcPr>
          <w:p w14:paraId="0E312988" w14:textId="77777777" w:rsidR="00085C05" w:rsidRDefault="00000000">
            <w:pPr>
              <w:pStyle w:val="Compact"/>
            </w:pPr>
            <w:r>
              <w:t>Fase 1 (writers y matriz regla×formato)</w:t>
            </w:r>
          </w:p>
        </w:tc>
      </w:tr>
      <w:tr w:rsidR="00085C05" w14:paraId="458348BE" w14:textId="77777777">
        <w:tc>
          <w:tcPr>
            <w:tcW w:w="0" w:type="auto"/>
          </w:tcPr>
          <w:p w14:paraId="64EC9193" w14:textId="77777777" w:rsidR="00085C05" w:rsidRDefault="00000000">
            <w:pPr>
              <w:pStyle w:val="Compact"/>
            </w:pPr>
            <w:r>
              <w:t>3 — IA gobernada</w:t>
            </w:r>
          </w:p>
        </w:tc>
        <w:tc>
          <w:tcPr>
            <w:tcW w:w="0" w:type="auto"/>
          </w:tcPr>
          <w:p w14:paraId="6299A624" w14:textId="77777777" w:rsidR="00085C05" w:rsidRDefault="00000000">
            <w:pPr>
              <w:pStyle w:val="Compact"/>
            </w:pPr>
            <w:r>
              <w:t>Meses 8-12</w:t>
            </w:r>
          </w:p>
        </w:tc>
        <w:tc>
          <w:tcPr>
            <w:tcW w:w="0" w:type="auto"/>
          </w:tcPr>
          <w:p w14:paraId="3B87A8F1" w14:textId="77777777" w:rsidR="00085C05" w:rsidRDefault="00000000">
            <w:pPr>
              <w:pStyle w:val="Compact"/>
            </w:pPr>
            <w:r>
              <w:t>Defender el foso contra la ola end-to-end</w:t>
            </w:r>
          </w:p>
        </w:tc>
        <w:tc>
          <w:tcPr>
            <w:tcW w:w="0" w:type="auto"/>
          </w:tcPr>
          <w:p w14:paraId="5E68F4AC" w14:textId="77777777" w:rsidR="00085C05" w:rsidRDefault="00000000">
            <w:pPr>
              <w:pStyle w:val="Compact"/>
            </w:pPr>
            <w:r>
              <w:t>Agentes de salud y coherencia, co-autor con gates, procedencia y disclosure</w:t>
            </w:r>
          </w:p>
        </w:tc>
        <w:tc>
          <w:tcPr>
            <w:tcW w:w="0" w:type="auto"/>
          </w:tcPr>
          <w:p w14:paraId="7B7F637E" w14:textId="77777777" w:rsidR="00085C05" w:rsidRDefault="00000000">
            <w:pPr>
              <w:pStyle w:val="Compact"/>
            </w:pPr>
            <w:r>
              <w:t>0 escritura directa; 100% bloques etiquetados; disclosure automático</w:t>
            </w:r>
          </w:p>
        </w:tc>
        <w:tc>
          <w:tcPr>
            <w:tcW w:w="0" w:type="auto"/>
          </w:tcPr>
          <w:p w14:paraId="6118C006" w14:textId="77777777" w:rsidR="00085C05" w:rsidRDefault="00000000">
            <w:pPr>
              <w:pStyle w:val="Compact"/>
            </w:pPr>
            <w:r>
              <w:t>14-18</w:t>
            </w:r>
          </w:p>
        </w:tc>
        <w:tc>
          <w:tcPr>
            <w:tcW w:w="0" w:type="auto"/>
          </w:tcPr>
          <w:p w14:paraId="0D8B8BB6" w14:textId="77777777" w:rsidR="00085C05" w:rsidRDefault="00000000">
            <w:pPr>
              <w:pStyle w:val="Compact"/>
            </w:pPr>
            <w:r>
              <w:t>Alto (defendibilidad máxima)</w:t>
            </w:r>
          </w:p>
        </w:tc>
        <w:tc>
          <w:tcPr>
            <w:tcW w:w="0" w:type="auto"/>
          </w:tcPr>
          <w:p w14:paraId="3D7B7D50" w14:textId="77777777" w:rsidR="00085C05" w:rsidRDefault="00000000">
            <w:pPr>
              <w:pStyle w:val="Compact"/>
            </w:pPr>
            <w:r>
              <w:t>Fases 0-2 (panel creíble, AST versionado)</w:t>
            </w:r>
          </w:p>
        </w:tc>
      </w:tr>
      <w:tr w:rsidR="00085C05" w14:paraId="2FA2F092" w14:textId="77777777">
        <w:tc>
          <w:tcPr>
            <w:tcW w:w="0" w:type="auto"/>
          </w:tcPr>
          <w:p w14:paraId="588A8354" w14:textId="77777777" w:rsidR="00085C05" w:rsidRDefault="00000000">
            <w:pPr>
              <w:pStyle w:val="Compact"/>
            </w:pPr>
            <w:r>
              <w:t>4 — Distribución y ecosistema</w:t>
            </w:r>
          </w:p>
        </w:tc>
        <w:tc>
          <w:tcPr>
            <w:tcW w:w="0" w:type="auto"/>
          </w:tcPr>
          <w:p w14:paraId="54DD1358" w14:textId="77777777" w:rsidR="00085C05" w:rsidRDefault="00000000">
            <w:pPr>
              <w:pStyle w:val="Compact"/>
            </w:pPr>
            <w:r>
              <w:t>Meses 12-18</w:t>
            </w:r>
          </w:p>
        </w:tc>
        <w:tc>
          <w:tcPr>
            <w:tcW w:w="0" w:type="auto"/>
          </w:tcPr>
          <w:p w14:paraId="403BEB0A" w14:textId="77777777" w:rsidR="00085C05" w:rsidRDefault="00000000">
            <w:pPr>
              <w:pStyle w:val="Compact"/>
            </w:pPr>
            <w:r>
              <w:t>Escalar el foso a canales y equipos</w:t>
            </w:r>
          </w:p>
        </w:tc>
        <w:tc>
          <w:tcPr>
            <w:tcW w:w="0" w:type="auto"/>
          </w:tcPr>
          <w:p w14:paraId="55B4B0D4" w14:textId="77777777" w:rsidR="00085C05" w:rsidRDefault="00000000">
            <w:pPr>
              <w:pStyle w:val="Compact"/>
            </w:pPr>
            <w:r>
              <w:t>Push a Gumroad/Hotmart/KDP, paquetes de lanzamiento, roles, API y plugins</w:t>
            </w:r>
          </w:p>
        </w:tc>
        <w:tc>
          <w:tcPr>
            <w:tcW w:w="0" w:type="auto"/>
          </w:tcPr>
          <w:p w14:paraId="0FF098D3" w14:textId="77777777" w:rsidR="00085C05" w:rsidRDefault="00000000">
            <w:pPr>
              <w:pStyle w:val="Compact"/>
            </w:pPr>
            <w:r>
              <w:t>Integración funcional en 2+ canales; corrección por roles en producción</w:t>
            </w:r>
          </w:p>
        </w:tc>
        <w:tc>
          <w:tcPr>
            <w:tcW w:w="0" w:type="auto"/>
          </w:tcPr>
          <w:p w14:paraId="1C238808" w14:textId="77777777" w:rsidR="00085C05" w:rsidRDefault="00000000">
            <w:pPr>
              <w:pStyle w:val="Compact"/>
            </w:pPr>
            <w:r>
              <w:t>16-20</w:t>
            </w:r>
          </w:p>
        </w:tc>
        <w:tc>
          <w:tcPr>
            <w:tcW w:w="0" w:type="auto"/>
          </w:tcPr>
          <w:p w14:paraId="1A266949" w14:textId="77777777" w:rsidR="00085C05" w:rsidRDefault="00000000">
            <w:pPr>
              <w:pStyle w:val="Compact"/>
            </w:pPr>
            <w:r>
              <w:t>Medio-alto (escala)</w:t>
            </w:r>
          </w:p>
        </w:tc>
        <w:tc>
          <w:tcPr>
            <w:tcW w:w="0" w:type="auto"/>
          </w:tcPr>
          <w:p w14:paraId="4EA1C8D8" w14:textId="77777777" w:rsidR="00085C05" w:rsidRDefault="00000000">
            <w:pPr>
              <w:pStyle w:val="Compact"/>
            </w:pPr>
            <w:r>
              <w:t>Fases 1-3 (exports válidos, incremental maduro)</w:t>
            </w:r>
          </w:p>
        </w:tc>
      </w:tr>
    </w:tbl>
    <w:p w14:paraId="18F3CC4F" w14:textId="77777777" w:rsidR="00085C05" w:rsidRDefault="00000000">
      <w:pPr>
        <w:pStyle w:val="BodyText"/>
      </w:pPr>
      <w:r>
        <w:t xml:space="preserve">La matriz hace visible la secuenciación en tres transiciones. La primera es de elegibilidad: las Fases 0 y 1 son de supervivencia comercial —juntas suman menos esfuerzo que la Fase 3 sola y deciden si Anclora existe como opción de compra—, mientras las Fases 2 a 4 construyen el foso y su escala. La segunda es de credibilidad: cada fase consume la confianza que la anterior fabricó (el agente de salud necesita un panel creíble; la colaboración, una recomposición fiable; la API, usuarios que la demanden), lo que invalida la tentación de adelantar la IA por su visibilidad. La tercera es de paralelización limitada: el diseño editorial de plantillas puede avanzar durante la Fase 1 y la investigación de agentes durante la Fase 2, pero los criterios go/no-go no deben relajarse para comprar calendario. Las exclusiones son tan deliberadas como las inclusiones: no se construye audiolibro TTS ni generación de portadas IA —en vías de comoditización vía ElevenLabs y los generadores de imagen </w:t>
      </w:r>
      <w:r>
        <w:rPr>
          <w:vertAlign w:val="superscript"/>
        </w:rPr>
        <w:footnoteReference w:id="147"/>
      </w:r>
      <w:r>
        <w:t xml:space="preserve"> </w:t>
      </w:r>
      <w:r>
        <w:fldChar w:fldCharType="begin"/>
      </w:r>
      <w:r>
        <w:instrText>NOTEREF _Ref_Footnote_68 \h \f</w:instrText>
      </w:r>
      <w:r>
        <w:fldChar w:fldCharType="separate"/>
      </w:r>
      <w:r>
        <w:rPr>
          <w:vertAlign w:val="superscript"/>
        </w:rPr>
        <w:t>68</w:t>
      </w:r>
      <w:r>
        <w:fldChar w:fldCharType="end"/>
      </w:r>
      <w:r>
        <w:t xml:space="preserve">—, ni checkout propio —comoditizado por los MoR </w:t>
      </w:r>
      <w:r>
        <w:fldChar w:fldCharType="begin"/>
      </w:r>
      <w:r>
        <w:instrText>NOTEREF _Ref_Footnote_71 \h \f</w:instrText>
      </w:r>
      <w:r>
        <w:fldChar w:fldCharType="separate"/>
      </w:r>
      <w:r>
        <w:rPr>
          <w:vertAlign w:val="superscript"/>
        </w:rPr>
        <w:t>71</w:t>
      </w:r>
      <w:r>
        <w:fldChar w:fldCharType="end"/>
      </w:r>
      <w:r>
        <w:t xml:space="preserve">—, ni generación de texto como argumento de venta, la guerra ya perdida contra los free tiers </w:t>
      </w:r>
      <w:r>
        <w:fldChar w:fldCharType="begin"/>
      </w:r>
      <w:r>
        <w:instrText>NOTEREF _Ref_Footnote_52 \h \f</w:instrText>
      </w:r>
      <w:r>
        <w:fldChar w:fldCharType="separate"/>
      </w:r>
      <w:r>
        <w:rPr>
          <w:vertAlign w:val="superscript"/>
        </w:rPr>
        <w:t>52</w:t>
      </w:r>
      <w:r>
        <w:fldChar w:fldCharType="end"/>
      </w:r>
      <w:r>
        <w:t>. El plan invierte cada euro en lo que exige un modelo semántico del documento, porque es lo único que la competencia no puede comprar hecho.</w:t>
      </w:r>
    </w:p>
    <w:p w14:paraId="5BF1C02C" w14:textId="77777777" w:rsidR="00085C05" w:rsidRDefault="00000000">
      <w:pPr>
        <w:pStyle w:val="Heading2"/>
      </w:pPr>
      <w:bookmarkStart w:id="207" w:name="roadmap-go-to-market-métricas-y-riesgos"/>
      <w:bookmarkEnd w:id="157"/>
      <w:bookmarkEnd w:id="204"/>
      <w:bookmarkEnd w:id="205"/>
      <w:r>
        <w:t>5. Roadmap, go-to-market, métricas y riesgos</w:t>
      </w:r>
    </w:p>
    <w:p w14:paraId="64665124" w14:textId="77777777" w:rsidR="00085C05" w:rsidRDefault="00000000">
      <w:pPr>
        <w:pStyle w:val="FirstParagraph"/>
      </w:pPr>
      <w:r>
        <w:t>La conclusión que cierra el plan es de calendario y de dinero: Anclora Talent dispone de unos doce meses para convertir un diferencial técnico ya construido en una posición de mercado defendible, y el orden de ejecución —productizar, hacerse elegible, expandir, defender y escalar— es tan importante como el contenido de cada fase. Las cinco fases del capítulo 4 suman entre 52 y 68 persona-mes de esfuerzo en 18 meses, lo que implica un equipo efectivo medio de tres personas (el fundador más dos ingenieros) trabajando a plena dedicación: esa es la primera decisión de recursos que este capítulo hace explícita. Debajo de esa decisión se calendarizan los hitos (5.1), se define cómo y dónde se desembarca y cómo se cobra (5.2), se fija el cuadro de mando que gobernará los go/no-go (5.3) y se gestionan los cuatro riesgos que pueden descarrilar el plan (5.4).</w:t>
      </w:r>
    </w:p>
    <w:p w14:paraId="4443C744" w14:textId="77777777" w:rsidR="00085C05" w:rsidRDefault="00000000">
      <w:pPr>
        <w:pStyle w:val="Heading3"/>
      </w:pPr>
      <w:bookmarkStart w:id="208" w:name="roadmap-temporal-consolidado"/>
      <w:r>
        <w:t>5.1 Roadmap temporal consolidado</w:t>
      </w:r>
    </w:p>
    <w:p w14:paraId="774058D6" w14:textId="77777777" w:rsidR="00085C05" w:rsidRDefault="00000000">
      <w:pPr>
        <w:pStyle w:val="Heading4"/>
      </w:pPr>
      <w:bookmarkStart w:id="209" w:name="X41a517c8384cdfc0b8e4574fc31bdfe8b0cfe8a"/>
      <w:r>
        <w:t>5.1.1 Línea temporal de 18 meses con hitos y criterios de salida por fase</w:t>
      </w:r>
    </w:p>
    <w:p w14:paraId="7A9D0179" w14:textId="77777777" w:rsidR="00085C05" w:rsidRDefault="00000000">
      <w:pPr>
        <w:pStyle w:val="CaptionedFigure"/>
      </w:pPr>
      <w:r>
        <w:rPr>
          <w:noProof/>
        </w:rPr>
        <w:drawing>
          <wp:inline distT="0" distB="0" distL="0" distR="0" wp14:anchorId="7613E81D" wp14:editId="74BC8B61">
            <wp:extent cx="5334000" cy="2528454"/>
            <wp:effectExtent l="0" t="0" r="0" b="0"/>
            <wp:docPr id="83" name="Picture" descr="Línea temporal de 18 meses del plan definitivo de Anclora Talent: cinco fases encadenadas con hitos go/no-go y la ventana competitiva estimada en el mes 12"/>
            <wp:cNvGraphicFramePr/>
            <a:graphic xmlns:a="http://schemas.openxmlformats.org/drawingml/2006/main">
              <a:graphicData uri="http://schemas.openxmlformats.org/drawingml/2006/picture">
                <pic:pic xmlns:pic="http://schemas.openxmlformats.org/drawingml/2006/picture">
                  <pic:nvPicPr>
                    <pic:cNvPr id="84" name="Picture" descr="plan_mejora_definitivo_anclora_talent_chart02.png"/>
                    <pic:cNvPicPr>
                      <a:picLocks noChangeAspect="1" noChangeArrowheads="1"/>
                    </pic:cNvPicPr>
                  </pic:nvPicPr>
                  <pic:blipFill>
                    <a:blip r:embed="rId8"/>
                    <a:stretch>
                      <a:fillRect/>
                    </a:stretch>
                  </pic:blipFill>
                  <pic:spPr bwMode="auto">
                    <a:xfrm>
                      <a:off x="0" y="0"/>
                      <a:ext cx="5334000" cy="2528454"/>
                    </a:xfrm>
                    <a:prstGeom prst="rect">
                      <a:avLst/>
                    </a:prstGeom>
                    <a:noFill/>
                    <a:ln w="9525">
                      <a:noFill/>
                      <a:headEnd/>
                      <a:tailEnd/>
                    </a:ln>
                  </pic:spPr>
                </pic:pic>
              </a:graphicData>
            </a:graphic>
          </wp:inline>
        </w:drawing>
      </w:r>
    </w:p>
    <w:p w14:paraId="744E8959" w14:textId="77777777" w:rsidR="00085C05" w:rsidRDefault="00000000">
      <w:pPr>
        <w:pStyle w:val="ImageCaption"/>
      </w:pPr>
      <w:r>
        <w:t>Línea temporal de 18 meses del plan definitivo de Anclora Talent: cinco fases encadenadas con hitos go/no-go y la ventana competitiva estimada en el mes 12</w:t>
      </w:r>
    </w:p>
    <w:p w14:paraId="03F8080F" w14:textId="77777777" w:rsidR="00085C05" w:rsidRDefault="00000000">
      <w:pPr>
        <w:pStyle w:val="BodyText"/>
      </w:pPr>
      <w:r>
        <w:rPr>
          <w:i/>
          <w:iCs/>
        </w:rPr>
        <w:t xml:space="preserve">Gráfico 1. Gantt simplificado del roadmap consolidado. Barras: duración y solape de las fases F0-F4; rombos: hito con criterio de salida que autoriza la fase siguiente. Fuente: plan por fases (capítulo 4); ventana competitiva según la velocidad observada de la ola end-to-end </w:t>
      </w:r>
      <w:r>
        <w:fldChar w:fldCharType="begin"/>
      </w:r>
      <w:r>
        <w:instrText>NOTEREF _Ref_Footnote_13 \h \f</w:instrText>
      </w:r>
      <w:r>
        <w:fldChar w:fldCharType="separate"/>
      </w:r>
      <w:r>
        <w:rPr>
          <w:vertAlign w:val="superscript"/>
        </w:rPr>
        <w:t>13</w:t>
      </w:r>
      <w:r>
        <w:fldChar w:fldCharType="end"/>
      </w:r>
      <w:r>
        <w:rPr>
          <w:i/>
          <w:iCs/>
        </w:rPr>
        <w:t xml:space="preserve"> </w:t>
      </w:r>
      <w:r>
        <w:fldChar w:fldCharType="begin"/>
      </w:r>
      <w:r>
        <w:instrText>NOTEREF _Ref_Footnote_52 \h \f</w:instrText>
      </w:r>
      <w:r>
        <w:fldChar w:fldCharType="separate"/>
      </w:r>
      <w:r>
        <w:rPr>
          <w:vertAlign w:val="superscript"/>
        </w:rPr>
        <w:t>52</w:t>
      </w:r>
      <w:r>
        <w:fldChar w:fldCharType="end"/>
      </w:r>
      <w:r>
        <w:rPr>
          <w:i/>
          <w:iCs/>
        </w:rPr>
        <w:t>.</w:t>
      </w:r>
    </w:p>
    <w:p w14:paraId="5D59CA24" w14:textId="77777777" w:rsidR="00085C05" w:rsidRDefault="00000000">
      <w:pPr>
        <w:pStyle w:val="BodyText"/>
      </w:pPr>
      <w:r>
        <w:t xml:space="preserve">El gráfico resume tres decisiones. La primera es el solape deliberado: cada fase arranca antes de que la anterior cierre, porque el criterio de salida es un go/no-go verificable (activación, EPUBCheck, time-to-first-draft), no una fecha de calendario. La segunda es la asimetría de esfuerzo: las Fases 0 y 1 concentran solo 10-14 persona-mes —menos que la Fase 3 sola— pero deciden la existencia comercial del producto, porque sin onboarding convincente no hay activación y sin EPUB válido no hay elegibilidad en el canal dominante </w:t>
      </w:r>
      <w:r>
        <w:fldChar w:fldCharType="begin"/>
      </w:r>
      <w:r>
        <w:instrText>NOTEREF _Ref_Footnote_12 \h \f</w:instrText>
      </w:r>
      <w:r>
        <w:fldChar w:fldCharType="separate"/>
      </w:r>
      <w:r>
        <w:rPr>
          <w:vertAlign w:val="superscript"/>
        </w:rPr>
        <w:t>12</w:t>
      </w:r>
      <w:r>
        <w:fldChar w:fldCharType="end"/>
      </w:r>
      <w:r>
        <w:t xml:space="preserve">. La tercera es la línea de corte del mes 12: la nueva ola end-to-end ya integra el pipeline completo idea→producto vendible por $9,99-19,99/mes, con publicación directa a Etsy y Gumroad </w:t>
      </w:r>
      <w:r>
        <w:fldChar w:fldCharType="begin"/>
      </w:r>
      <w:r>
        <w:instrText>NOTEREF _Ref_Footnote_56 \h \f</w:instrText>
      </w:r>
      <w:r>
        <w:fldChar w:fldCharType="separate"/>
      </w:r>
      <w:r>
        <w:rPr>
          <w:vertAlign w:val="superscript"/>
        </w:rPr>
        <w:t>56</w:t>
      </w:r>
      <w:r>
        <w:fldChar w:fldCharType="end"/>
      </w:r>
      <w:r>
        <w:t xml:space="preserve">, y la estimación razonable es que añada gobernanza y coherencia estructural —hoy su punto débil más citado— en unos doce meses </w:t>
      </w:r>
      <w:r>
        <w:fldChar w:fldCharType="begin"/>
      </w:r>
      <w:r>
        <w:instrText>NOTEREF _Ref_Footnote_52 \h \f</w:instrText>
      </w:r>
      <w:r>
        <w:fldChar w:fldCharType="separate"/>
      </w:r>
      <w:r>
        <w:rPr>
          <w:vertAlign w:val="superscript"/>
        </w:rPr>
        <w:t>52</w:t>
      </w:r>
      <w:r>
        <w:fldChar w:fldCharType="end"/>
      </w:r>
      <w:r>
        <w:t>. Todo lo que exige el modelo semántico propio debe estar en producción y con tracción antes de ese corte; lo que quede para después compite en inferioridad.</w:t>
      </w:r>
    </w:p>
    <w:p w14:paraId="58ACA4BD" w14:textId="77777777" w:rsidR="00085C05" w:rsidRDefault="00000000">
      <w:pPr>
        <w:pStyle w:val="Heading3"/>
      </w:pPr>
      <w:bookmarkStart w:id="210" w:name="estrategia-de-desembarco-y-go-to-market"/>
      <w:bookmarkEnd w:id="208"/>
      <w:bookmarkEnd w:id="209"/>
      <w:r>
        <w:t>5.2 Estrategia de desembarco y go-to-market</w:t>
      </w:r>
    </w:p>
    <w:p w14:paraId="7238C272" w14:textId="77777777" w:rsidR="00085C05" w:rsidRDefault="00000000">
      <w:pPr>
        <w:pStyle w:val="Heading4"/>
      </w:pPr>
      <w:bookmarkStart w:id="211" w:name="X9b80c05bfabc4b129c067d93aec1d26e19b1028"/>
      <w:r>
        <w:t>5.2.1 Playa hispanohablante: posicionamiento, canal y casos de uso</w:t>
      </w:r>
    </w:p>
    <w:p w14:paraId="06887CD0" w14:textId="77777777" w:rsidR="00085C05" w:rsidRDefault="00000000">
      <w:pPr>
        <w:pStyle w:val="FirstParagraph"/>
      </w:pPr>
      <w:r>
        <w:t xml:space="preserve">La estrategia de desembarco es de playa (beachhead): dominar un segmento pequeño, con dolor verbalizado y sin líder, antes de atacar el mercado anglosajón. El segmento elegido es el infoproductor hispanohablante de no-ficción —coach, consultor, formador— por cuatro razones convergentes. Es quien monetiza con productos digitales (márgenes del 70-90%) y para quien ebook, guía y lead magnet son activos de negocio recurrentes, no un libro único </w:t>
      </w:r>
      <w:r>
        <w:fldChar w:fldCharType="begin"/>
      </w:r>
      <w:r>
        <w:instrText>NOTEREF _Ref_Footnote_19 \h \f</w:instrText>
      </w:r>
      <w:r>
        <w:fldChar w:fldCharType="separate"/>
      </w:r>
      <w:r>
        <w:rPr>
          <w:vertAlign w:val="superscript"/>
        </w:rPr>
        <w:t>19</w:t>
      </w:r>
      <w:r>
        <w:fldChar w:fldCharType="end"/>
      </w:r>
      <w:r>
        <w:t xml:space="preserve"> </w:t>
      </w:r>
      <w:r>
        <w:fldChar w:fldCharType="begin"/>
      </w:r>
      <w:r>
        <w:instrText>NOTEREF _Ref_Footnote_28 \h \f</w:instrText>
      </w:r>
      <w:r>
        <w:fldChar w:fldCharType="separate"/>
      </w:r>
      <w:r>
        <w:rPr>
          <w:vertAlign w:val="superscript"/>
        </w:rPr>
        <w:t>28</w:t>
      </w:r>
      <w:r>
        <w:fldChar w:fldCharType="end"/>
      </w:r>
      <w:r>
        <w:t xml:space="preserve">. Habla una lengua con más de 600 millones de hablantes cuyo mercado digital crece a dos dígitos —libro digital en España +14,9% en 2024— desde una base menos saturada que la anglosajona </w:t>
      </w:r>
      <w:r>
        <w:fldChar w:fldCharType="begin"/>
      </w:r>
      <w:r>
        <w:instrText>NOTEREF _Ref_Footnote_10 \h \f</w:instrText>
      </w:r>
      <w:r>
        <w:fldChar w:fldCharType="separate"/>
      </w:r>
      <w:r>
        <w:rPr>
          <w:vertAlign w:val="superscript"/>
        </w:rPr>
        <w:t>10</w:t>
      </w:r>
      <w:r>
        <w:fldChar w:fldCharType="end"/>
      </w:r>
      <w:r>
        <w:t xml:space="preserve"> </w:t>
      </w:r>
      <w:r>
        <w:fldChar w:fldCharType="begin"/>
      </w:r>
      <w:r>
        <w:instrText>NOTEREF _Ref_Footnote_120 \h \f</w:instrText>
      </w:r>
      <w:r>
        <w:fldChar w:fldCharType="separate"/>
      </w:r>
      <w:r>
        <w:rPr>
          <w:vertAlign w:val="superscript"/>
        </w:rPr>
        <w:t>120</w:t>
      </w:r>
      <w:r>
        <w:fldChar w:fldCharType="end"/>
      </w:r>
      <w:r>
        <w:t xml:space="preserve">. No tiene ningún equivalente consolidado a Atticus o Vellum en español, mientras la infraestructura de venta ya existe y es dominante: Hotmart acumula más de $15.000M de GMV y un run-rate superior a $1.200M anuales </w:t>
      </w:r>
      <w:r>
        <w:fldChar w:fldCharType="begin"/>
      </w:r>
      <w:r>
        <w:instrText>NOTEREF _Ref_Footnote_9 \h \f</w:instrText>
      </w:r>
      <w:r>
        <w:fldChar w:fldCharType="separate"/>
      </w:r>
      <w:r>
        <w:t>9</w:t>
      </w:r>
      <w:r>
        <w:fldChar w:fldCharType="end"/>
      </w:r>
      <w:r>
        <w:t xml:space="preserve">. Y Anclora ya es bilingüe ES/EN de forma nativa en el código </w:t>
      </w:r>
      <w:r>
        <w:fldChar w:fldCharType="begin"/>
      </w:r>
      <w:r>
        <w:instrText>NOTEREF _Ref_Footnote_1 \h \f</w:instrText>
      </w:r>
      <w:r>
        <w:fldChar w:fldCharType="separate"/>
      </w:r>
      <w:r>
        <w:t>1</w:t>
      </w:r>
      <w:r>
        <w:fldChar w:fldCharType="end"/>
      </w:r>
      <w:r>
        <w:t>.</w:t>
      </w:r>
    </w:p>
    <w:p w14:paraId="3D28F288" w14:textId="77777777" w:rsidR="00085C05" w:rsidRDefault="00000000">
      <w:pPr>
        <w:pStyle w:val="BodyText"/>
      </w:pPr>
      <w:r>
        <w:t xml:space="preserve">El posicionamiento en la playa es “el Atticus en español que además piensa”: la referencia de Atticus ($147) da el ancla de categoría que el cliente reconoce, y el “que además piensa” introduce el motor —reglas, índice vivo, panel de salud, IA gobernada— como la diferencia que Atticus no tiene. Los canales de desembarco son los del propio cliente: presencia y afiliación en Hotmart y Gumroad (10% de comisión, sin cuota mensual) como canal de venta directa del producto y de las plantillas </w:t>
      </w:r>
      <w:r>
        <w:fldChar w:fldCharType="begin"/>
      </w:r>
      <w:r>
        <w:instrText>NOTEREF _Ref_Footnote_125 \h \f</w:instrText>
      </w:r>
      <w:r>
        <w:fldChar w:fldCharType="separate"/>
      </w:r>
      <w:r>
        <w:rPr>
          <w:vertAlign w:val="superscript"/>
        </w:rPr>
        <w:t>125</w:t>
      </w:r>
      <w:r>
        <w:fldChar w:fldCharType="end"/>
      </w:r>
      <w:r>
        <w:t xml:space="preserve">. Los casos de uso de entrada se eligen por frecuencia: el lead magnet —los ebooks son el formato número uno de captación B2B, usado por el 39,5% de los equipos de demand generation— y el infoproducto vendible (guía, manual, workbook), que hoy se fabrica en Canva sin estructura ni export editorial </w:t>
      </w:r>
      <w:r>
        <w:rPr>
          <w:vertAlign w:val="superscript"/>
        </w:rPr>
        <w:footnoteReference w:id="148"/>
      </w:r>
      <w:r>
        <w:t xml:space="preserve"> </w:t>
      </w:r>
      <w:r>
        <w:fldChar w:fldCharType="begin"/>
      </w:r>
      <w:r>
        <w:instrText>NOTEREF _Ref_Footnote_84 \h \f</w:instrText>
      </w:r>
      <w:r>
        <w:fldChar w:fldCharType="separate"/>
      </w:r>
      <w:r>
        <w:rPr>
          <w:vertAlign w:val="superscript"/>
        </w:rPr>
        <w:t>84</w:t>
      </w:r>
      <w:r>
        <w:fldChar w:fldCharType="end"/>
      </w:r>
      <w:r>
        <w:t xml:space="preserve">. Una cautela de precio: los ebooks en español se venden a €7,61-9 de media y la sensibilidad al precio del software es mayor que en el mercado anglosajón, lo que refuerza el freemium con entrada gratuita frente a un ticket alto </w:t>
      </w:r>
      <w:r>
        <w:fldChar w:fldCharType="begin"/>
      </w:r>
      <w:r>
        <w:instrText>NOTEREF _Ref_Footnote_120 \h \f</w:instrText>
      </w:r>
      <w:r>
        <w:fldChar w:fldCharType="separate"/>
      </w:r>
      <w:r>
        <w:rPr>
          <w:vertAlign w:val="superscript"/>
        </w:rPr>
        <w:t>120</w:t>
      </w:r>
      <w:r>
        <w:fldChar w:fldCharType="end"/>
      </w:r>
      <w:r>
        <w:t xml:space="preserve"> </w:t>
      </w:r>
      <w:r>
        <w:fldChar w:fldCharType="begin"/>
      </w:r>
      <w:r>
        <w:instrText>NOTEREF _Ref_Footnote_119 \h \f</w:instrText>
      </w:r>
      <w:r>
        <w:fldChar w:fldCharType="separate"/>
      </w:r>
      <w:r>
        <w:rPr>
          <w:vertAlign w:val="superscript"/>
        </w:rPr>
        <w:t>119</w:t>
      </w:r>
      <w:r>
        <w:fldChar w:fldCharType="end"/>
      </w:r>
      <w:r>
        <w:t>.</w:t>
      </w:r>
    </w:p>
    <w:p w14:paraId="66ED235F" w14:textId="77777777" w:rsidR="00085C05" w:rsidRDefault="00000000">
      <w:pPr>
        <w:pStyle w:val="Heading4"/>
      </w:pPr>
      <w:bookmarkStart w:id="213" w:name="X171735a36d4e854ce00eebeffc119da6fc394a7"/>
      <w:bookmarkEnd w:id="211"/>
      <w:r>
        <w:t>5.2.2 Modelo de negocio: freemium con Pro a $97/año</w:t>
      </w:r>
    </w:p>
    <w:p w14:paraId="3272D6CB" w14:textId="77777777" w:rsidR="00085C05" w:rsidRDefault="00000000">
      <w:pPr>
        <w:pStyle w:val="FirstParagraph"/>
      </w:pPr>
      <w:r>
        <w:t xml:space="preserve">El modelo recomendado es freemium con suscripción Pro anual anclada a $97/año, y la licencia única queda descartada como modelo principal por razones de unit economics. El sector tiene una preferencia cultural declarada por la licencia única —el argumento número uno de Atticus es literalmente “no queremos suscripciones”—, pero ese rechazo aplica a funcionalidad estática, no a IA: el ARPU del SaaS de escritura creativa pasó de $48 (2021) a $97 (2025) y las suscripciones AI-native crecen al 18,6% anual frente al 10,2% del mercado total </w:t>
      </w:r>
      <w:r>
        <w:fldChar w:fldCharType="begin"/>
      </w:r>
      <w:r>
        <w:instrText>NOTEREF _Ref_Footnote_33 \h \f</w:instrText>
      </w:r>
      <w:r>
        <w:fldChar w:fldCharType="separate"/>
      </w:r>
      <w:r>
        <w:rPr>
          <w:vertAlign w:val="superscript"/>
        </w:rPr>
        <w:t>33</w:t>
      </w:r>
      <w:r>
        <w:fldChar w:fldCharType="end"/>
      </w:r>
      <w:r>
        <w:t xml:space="preserve"> </w:t>
      </w:r>
      <w:r>
        <w:fldChar w:fldCharType="begin"/>
      </w:r>
      <w:r>
        <w:instrText>NOTEREF _Ref_Footnote_11 \h \f</w:instrText>
      </w:r>
      <w:r>
        <w:fldChar w:fldCharType="separate"/>
      </w:r>
      <w:r>
        <w:rPr>
          <w:vertAlign w:val="superscript"/>
        </w:rPr>
        <w:t>11</w:t>
      </w:r>
      <w:r>
        <w:fldChar w:fldCharType="end"/>
      </w:r>
      <w:r>
        <w:t xml:space="preserve">. Un producto cuya capa diferencial de Fase 3 (agentes, gobernanza, disclosure) consume coste de IA continuo en cada uso no puede financiarse con un pago único: la licencia deja dinero sobre la mesa en los clientes intensivos y obliga a un segundo lanzamiento comercial en cada fase. La estructura concreta: plan gratuito con composición básica (editor, reglas, preview, export PDF con marca) que hace viral el “momento nunca-más” sin fricción de pago, y plan Pro a $97/año —o $9-12/mes en la banda de precio del sector— que desbloquea EPUB y pre-flight por canal, multi-formato coordinado, historial de versiones y la capa de IA gobernada. El anclaje funciona en ambas direcciones: contra Atticus/Vellum ($147-249,99 de pago único) el Pro se paga solo en 18 meses y añade lo que ellos no tienen </w:t>
      </w:r>
      <w:r>
        <w:fldChar w:fldCharType="begin"/>
      </w:r>
      <w:r>
        <w:instrText>NOTEREF _Ref_Footnote_33 \h \f</w:instrText>
      </w:r>
      <w:r>
        <w:fldChar w:fldCharType="separate"/>
      </w:r>
      <w:r>
        <w:rPr>
          <w:vertAlign w:val="superscript"/>
        </w:rPr>
        <w:t>33</w:t>
      </w:r>
      <w:r>
        <w:fldChar w:fldCharType="end"/>
      </w:r>
      <w:r>
        <w:t xml:space="preserve"> </w:t>
      </w:r>
      <w:r>
        <w:rPr>
          <w:vertAlign w:val="superscript"/>
        </w:rPr>
        <w:footnoteReference w:id="149"/>
      </w:r>
      <w:r>
        <w:t xml:space="preserve">; contra el formateador humano ($475-1.275 por libro) el ROI es trivial desde el primer proyecto </w:t>
      </w:r>
      <w:r>
        <w:fldChar w:fldCharType="begin"/>
      </w:r>
      <w:r>
        <w:instrText>NOTEREF _Ref_Footnote_6 \h \f</w:instrText>
      </w:r>
      <w:r>
        <w:fldChar w:fldCharType="separate"/>
      </w:r>
      <w:r>
        <w:t>6</w:t>
      </w:r>
      <w:r>
        <w:fldChar w:fldCharType="end"/>
      </w:r>
      <w:r>
        <w:t xml:space="preserve"> </w:t>
      </w:r>
      <w:r>
        <w:fldChar w:fldCharType="begin"/>
      </w:r>
      <w:r>
        <w:instrText>NOTEREF _Ref_Footnote_7 \h \f</w:instrText>
      </w:r>
      <w:r>
        <w:fldChar w:fldCharType="separate"/>
      </w:r>
      <w:r>
        <w:t>7</w:t>
      </w:r>
      <w:r>
        <w:fldChar w:fldCharType="end"/>
      </w:r>
      <w:r>
        <w:t xml:space="preserve">. La colaboración por roles de Fase 4 introduce el segundo vector de expansión: corrector invitado sin licencia completa, atacando el peaje de $147 por asiento que Atticus cobra a cada colaborador </w:t>
      </w:r>
      <w:r>
        <w:fldChar w:fldCharType="begin"/>
      </w:r>
      <w:r>
        <w:instrText>NOTEREF _Ref_Footnote_129 \h \f</w:instrText>
      </w:r>
      <w:r>
        <w:fldChar w:fldCharType="separate"/>
      </w:r>
      <w:r>
        <w:rPr>
          <w:vertAlign w:val="superscript"/>
        </w:rPr>
        <w:t>129</w:t>
      </w:r>
      <w:r>
        <w:fldChar w:fldCharType="end"/>
      </w:r>
      <w:r>
        <w:t>.</w:t>
      </w:r>
    </w:p>
    <w:p w14:paraId="7AA6F712" w14:textId="77777777" w:rsidR="00085C05" w:rsidRDefault="00000000">
      <w:pPr>
        <w:pStyle w:val="Heading4"/>
      </w:pPr>
      <w:bookmarkStart w:id="215" w:name="Xe9baed7e8db51a30b89f6bebdc1111095ed2f51"/>
      <w:bookmarkEnd w:id="213"/>
      <w:r>
        <w:t>5.2.3 Narrativa de marketing: el demo es la recomposición en vivo</w:t>
      </w:r>
    </w:p>
    <w:p w14:paraId="726158C2" w14:textId="77777777" w:rsidR="00085C05" w:rsidRDefault="00000000">
      <w:pPr>
        <w:pStyle w:val="FirstParagraph"/>
      </w:pPr>
      <w:r>
        <w:t xml:space="preserve">La narrativa de marketing no explica el motor: lo ejecuta delante del cliente. El demo central es la recomposición en vivo —“añade un párrafo y mira el índice actualizarse solo; mueve el capítulo 3 antes que el 1 y todo se renumera”—, el test de fuego que cualquier autor entiende en diez segundos y que la competencia no puede reproducir con un mockup, porque exige el motor debajo </w:t>
      </w:r>
      <w:r>
        <w:fldChar w:fldCharType="begin"/>
      </w:r>
      <w:r>
        <w:instrText>NOTEREF _Ref_Footnote_99 \h \f</w:instrText>
      </w:r>
      <w:r>
        <w:fldChar w:fldCharType="separate"/>
      </w:r>
      <w:r>
        <w:rPr>
          <w:vertAlign w:val="superscript"/>
        </w:rPr>
        <w:t>99</w:t>
      </w:r>
      <w:r>
        <w:fldChar w:fldCharType="end"/>
      </w:r>
      <w:r>
        <w:t xml:space="preserve">. Cada pieza contrasta ese vídeo de veinte segundos con el dolor documentado en primera persona: las dos erratas congeladas para siempre en InDesign porque reabrir el proyecto “es demasiado lío para dos pequeños arreglos” </w:t>
      </w:r>
      <w:r>
        <w:fldChar w:fldCharType="begin"/>
      </w:r>
      <w:r>
        <w:instrText>NOTEREF _Ref_Footnote_100 \h \f</w:instrText>
      </w:r>
      <w:r>
        <w:fldChar w:fldCharType="separate"/>
      </w:r>
      <w:r>
        <w:rPr>
          <w:vertAlign w:val="superscript"/>
        </w:rPr>
        <w:t>100</w:t>
      </w:r>
      <w:r>
        <w:fldChar w:fldCharType="end"/>
      </w:r>
      <w:r>
        <w:t xml:space="preserve">, el autor al que la cadena Google Docs→Word→Vellum “it killed me” </w:t>
      </w:r>
      <w:r>
        <w:fldChar w:fldCharType="begin"/>
      </w:r>
      <w:r>
        <w:instrText>NOTEREF _Ref_Footnote_99 \h \f</w:instrText>
      </w:r>
      <w:r>
        <w:fldChar w:fldCharType="separate"/>
      </w:r>
      <w:r>
        <w:rPr>
          <w:vertAlign w:val="superscript"/>
        </w:rPr>
        <w:t>99</w:t>
      </w:r>
      <w:r>
        <w:fldChar w:fldCharType="end"/>
      </w:r>
      <w:r>
        <w:t xml:space="preserve">, el contenido que se mueve de página solo en Designrr </w:t>
      </w:r>
      <w:r>
        <w:fldChar w:fldCharType="begin"/>
      </w:r>
      <w:r>
        <w:instrText>NOTEREF _Ref_Footnote_101 \h \f</w:instrText>
      </w:r>
      <w:r>
        <w:fldChar w:fldCharType="separate"/>
      </w:r>
      <w:r>
        <w:rPr>
          <w:vertAlign w:val="superscript"/>
        </w:rPr>
        <w:t>101</w:t>
      </w:r>
      <w:r>
        <w:fldChar w:fldCharType="end"/>
      </w:r>
      <w:r>
        <w:t xml:space="preserve">. La demo funciona además como filtro: quien no se emociona ante un índice que se actualiza solo no es el cliente. El lema que cierra el arco —“productos digitales que nunca se rompen: revisa sin miedo, reimporta sin rehacer, publica sin rechazos”— convierte tres capacidades del repo en tres verbos de compra </w:t>
      </w:r>
      <w:r>
        <w:fldChar w:fldCharType="begin"/>
      </w:r>
      <w:r>
        <w:instrText>NOTEREF _Ref_Footnote_1 \h \f</w:instrText>
      </w:r>
      <w:r>
        <w:fldChar w:fldCharType="separate"/>
      </w:r>
      <w:r>
        <w:t>1</w:t>
      </w:r>
      <w:r>
        <w:fldChar w:fldCharType="end"/>
      </w:r>
      <w:r>
        <w:t xml:space="preserve">. La prudencia está en la IA: el marketing la presenta como asistente editorial gobernado con trazabilidad, nunca como escritor fantasma, porque el 84% de los detractores la rechaza por motivos éticos y el posicionamiento ganador surfea ese rechazo en lugar de ignorarlo </w:t>
      </w:r>
      <w:r>
        <w:fldChar w:fldCharType="begin"/>
      </w:r>
      <w:r>
        <w:instrText>NOTEREF _Ref_Footnote_56 \h \f</w:instrText>
      </w:r>
      <w:r>
        <w:fldChar w:fldCharType="separate"/>
      </w:r>
      <w:r>
        <w:rPr>
          <w:vertAlign w:val="superscript"/>
        </w:rPr>
        <w:t>56</w:t>
      </w:r>
      <w:r>
        <w:fldChar w:fldCharType="end"/>
      </w:r>
      <w:r>
        <w:t xml:space="preserve"> </w:t>
      </w:r>
      <w:r>
        <w:fldChar w:fldCharType="begin"/>
      </w:r>
      <w:r>
        <w:instrText>NOTEREF _Ref_Footnote_53 \h \f</w:instrText>
      </w:r>
      <w:r>
        <w:fldChar w:fldCharType="separate"/>
      </w:r>
      <w:r>
        <w:rPr>
          <w:vertAlign w:val="superscript"/>
        </w:rPr>
        <w:t>53</w:t>
      </w:r>
      <w:r>
        <w:fldChar w:fldCharType="end"/>
      </w:r>
      <w:r>
        <w:t>.</w:t>
      </w:r>
    </w:p>
    <w:p w14:paraId="1B9707FC" w14:textId="77777777" w:rsidR="00085C05" w:rsidRDefault="00000000">
      <w:pPr>
        <w:pStyle w:val="Heading3"/>
      </w:pPr>
      <w:bookmarkStart w:id="216" w:name="métricas-de-éxito"/>
      <w:bookmarkEnd w:id="210"/>
      <w:bookmarkEnd w:id="215"/>
      <w:r>
        <w:t>5.3 Métricas de éxito</w:t>
      </w:r>
    </w:p>
    <w:p w14:paraId="0C1A0B9E" w14:textId="77777777" w:rsidR="00085C05" w:rsidRDefault="00000000">
      <w:pPr>
        <w:pStyle w:val="Heading4"/>
      </w:pPr>
      <w:bookmarkStart w:id="217" w:name="cuadro-de-mando-producto-negocio-y-dolor"/>
      <w:r>
        <w:t>5.3.1 Cuadro de mando: producto, negocio y dolor</w:t>
      </w:r>
    </w:p>
    <w:p w14:paraId="5E3C614C" w14:textId="77777777" w:rsidR="00085C05" w:rsidRDefault="00000000">
      <w:pPr>
        <w:pStyle w:val="FirstParagraph"/>
      </w:pPr>
      <w:r>
        <w:t>Las métricas se organizan en tres familias con una función distinta cada una: las de producto protegen la promesa técnica, las de negocio gobiernan los go/no-go del roadmap y las de dolor verifican que el plan sigue atacando el problema por el que el mercado paga. Los umbrales son objetivos internos de gestión fijados por este plan; los benchmarks externos que los contextualizan se citan en cada fila.</w:t>
      </w:r>
    </w:p>
    <w:p w14:paraId="4D6D8397" w14:textId="77777777" w:rsidR="00085C05" w:rsidRDefault="00000000">
      <w:pPr>
        <w:pStyle w:val="BodyText"/>
      </w:pPr>
      <w:r>
        <w:rPr>
          <w:b/>
          <w:bCs/>
        </w:rPr>
        <w:t>Tabla 1. Métricas de éxito del plan definitivo (18 meses)</w:t>
      </w:r>
    </w:p>
    <w:tbl>
      <w:tblPr>
        <w:tblStyle w:val="Table"/>
        <w:tblW w:w="5000" w:type="pct"/>
        <w:tblLook w:val="0020" w:firstRow="1" w:lastRow="0" w:firstColumn="0" w:lastColumn="0" w:noHBand="0" w:noVBand="0"/>
      </w:tblPr>
      <w:tblGrid>
        <w:gridCol w:w="1160"/>
        <w:gridCol w:w="2549"/>
        <w:gridCol w:w="1964"/>
        <w:gridCol w:w="1511"/>
        <w:gridCol w:w="1870"/>
      </w:tblGrid>
      <w:tr w:rsidR="00085C05" w14:paraId="1BF05086"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7D5E0FAB" w14:textId="77777777" w:rsidR="00085C05" w:rsidRDefault="00000000">
            <w:pPr>
              <w:pStyle w:val="Compact"/>
            </w:pPr>
            <w:r>
              <w:t>Familia</w:t>
            </w:r>
          </w:p>
        </w:tc>
        <w:tc>
          <w:tcPr>
            <w:tcW w:w="0" w:type="auto"/>
          </w:tcPr>
          <w:p w14:paraId="1C8C0ED5" w14:textId="77777777" w:rsidR="00085C05" w:rsidRDefault="00000000">
            <w:pPr>
              <w:pStyle w:val="Compact"/>
            </w:pPr>
            <w:r>
              <w:t>Métrica</w:t>
            </w:r>
          </w:p>
        </w:tc>
        <w:tc>
          <w:tcPr>
            <w:tcW w:w="0" w:type="auto"/>
          </w:tcPr>
          <w:p w14:paraId="4421B0A9" w14:textId="77777777" w:rsidR="00085C05" w:rsidRDefault="00000000">
            <w:pPr>
              <w:pStyle w:val="Compact"/>
            </w:pPr>
            <w:r>
              <w:t>Umbral objetivo</w:t>
            </w:r>
          </w:p>
        </w:tc>
        <w:tc>
          <w:tcPr>
            <w:tcW w:w="0" w:type="auto"/>
          </w:tcPr>
          <w:p w14:paraId="5B830E79" w14:textId="77777777" w:rsidR="00085C05" w:rsidRDefault="00000000">
            <w:pPr>
              <w:pStyle w:val="Compact"/>
            </w:pPr>
            <w:r>
              <w:t>Plazo de medición</w:t>
            </w:r>
          </w:p>
        </w:tc>
        <w:tc>
          <w:tcPr>
            <w:tcW w:w="0" w:type="auto"/>
          </w:tcPr>
          <w:p w14:paraId="4DCF11F2" w14:textId="77777777" w:rsidR="00085C05" w:rsidRDefault="00000000">
            <w:pPr>
              <w:pStyle w:val="Compact"/>
            </w:pPr>
            <w:r>
              <w:t>Por qué importa</w:t>
            </w:r>
          </w:p>
        </w:tc>
      </w:tr>
      <w:tr w:rsidR="00085C05" w14:paraId="51229177" w14:textId="77777777">
        <w:tc>
          <w:tcPr>
            <w:tcW w:w="0" w:type="auto"/>
          </w:tcPr>
          <w:p w14:paraId="6D4DF5D3" w14:textId="77777777" w:rsidR="00085C05" w:rsidRDefault="00000000">
            <w:pPr>
              <w:pStyle w:val="Compact"/>
            </w:pPr>
            <w:r>
              <w:t>Producto</w:t>
            </w:r>
          </w:p>
        </w:tc>
        <w:tc>
          <w:tcPr>
            <w:tcW w:w="0" w:type="auto"/>
          </w:tcPr>
          <w:p w14:paraId="62DC94FD" w14:textId="77777777" w:rsidR="00085C05" w:rsidRDefault="00000000">
            <w:pPr>
              <w:pStyle w:val="Compact"/>
            </w:pPr>
            <w:r>
              <w:t>Recomposición incremental, p95 en producción</w:t>
            </w:r>
          </w:p>
        </w:tc>
        <w:tc>
          <w:tcPr>
            <w:tcW w:w="0" w:type="auto"/>
          </w:tcPr>
          <w:p w14:paraId="434C9922" w14:textId="77777777" w:rsidR="00085C05" w:rsidRDefault="00000000">
            <w:pPr>
              <w:pStyle w:val="Compact"/>
            </w:pPr>
            <w:r>
              <w:t>&lt;300 ms sostenido en libros completos</w:t>
            </w:r>
          </w:p>
        </w:tc>
        <w:tc>
          <w:tcPr>
            <w:tcW w:w="0" w:type="auto"/>
          </w:tcPr>
          <w:p w14:paraId="6C9B846A" w14:textId="77777777" w:rsidR="00085C05" w:rsidRDefault="00000000">
            <w:pPr>
              <w:pStyle w:val="Compact"/>
            </w:pPr>
            <w:r>
              <w:t>Continuo desde Fase 0</w:t>
            </w:r>
          </w:p>
        </w:tc>
        <w:tc>
          <w:tcPr>
            <w:tcW w:w="0" w:type="auto"/>
          </w:tcPr>
          <w:p w14:paraId="2533D942" w14:textId="77777777" w:rsidR="00085C05" w:rsidRDefault="00000000">
            <w:pPr>
              <w:pStyle w:val="Compact"/>
            </w:pPr>
            <w:r>
              <w:t xml:space="preserve">El mejor precedente público (Typst, en Rust) mide ~600 ms en una tesis; sostener el presupuesto convierte velocidad en argumento de venta cuantificado </w:t>
            </w:r>
            <w:r>
              <w:fldChar w:fldCharType="begin"/>
            </w:r>
            <w:r>
              <w:instrText>NOTEREF _Ref_Footnote_128 \h \f</w:instrText>
            </w:r>
            <w:r>
              <w:fldChar w:fldCharType="separate"/>
            </w:r>
            <w:r>
              <w:rPr>
                <w:vertAlign w:val="superscript"/>
              </w:rPr>
              <w:t>128</w:t>
            </w:r>
            <w:r>
              <w:fldChar w:fldCharType="end"/>
            </w:r>
            <w:r>
              <w:t xml:space="preserve"> </w:t>
            </w:r>
            <w:r>
              <w:fldChar w:fldCharType="begin"/>
            </w:r>
            <w:r>
              <w:instrText>NOTEREF _Ref_Footnote_1 \h \f</w:instrText>
            </w:r>
            <w:r>
              <w:fldChar w:fldCharType="separate"/>
            </w:r>
            <w:r>
              <w:t>1</w:t>
            </w:r>
            <w:r>
              <w:fldChar w:fldCharType="end"/>
            </w:r>
          </w:p>
        </w:tc>
      </w:tr>
      <w:tr w:rsidR="00085C05" w14:paraId="37298B29" w14:textId="77777777">
        <w:tc>
          <w:tcPr>
            <w:tcW w:w="0" w:type="auto"/>
          </w:tcPr>
          <w:p w14:paraId="36336FED" w14:textId="77777777" w:rsidR="00085C05" w:rsidRDefault="00000000">
            <w:pPr>
              <w:pStyle w:val="Compact"/>
            </w:pPr>
            <w:r>
              <w:t>Producto</w:t>
            </w:r>
          </w:p>
        </w:tc>
        <w:tc>
          <w:tcPr>
            <w:tcW w:w="0" w:type="auto"/>
          </w:tcPr>
          <w:p w14:paraId="6E59ADF0" w14:textId="77777777" w:rsidR="00085C05" w:rsidRDefault="00000000">
            <w:pPr>
              <w:pStyle w:val="Compact"/>
            </w:pPr>
            <w:r>
              <w:t>Exports sin violaciones bloqueantes</w:t>
            </w:r>
          </w:p>
        </w:tc>
        <w:tc>
          <w:tcPr>
            <w:tcW w:w="0" w:type="auto"/>
          </w:tcPr>
          <w:p w14:paraId="0172BE09" w14:textId="77777777" w:rsidR="00085C05" w:rsidRDefault="00000000">
            <w:pPr>
              <w:pStyle w:val="Compact"/>
            </w:pPr>
            <w:r>
              <w:t xml:space="preserve">≥95% de exports con 0 violaciones </w:t>
            </w:r>
            <w:r>
              <w:rPr>
                <w:rStyle w:val="VerbatimChar"/>
              </w:rPr>
              <w:t>block</w:t>
            </w:r>
          </w:p>
        </w:tc>
        <w:tc>
          <w:tcPr>
            <w:tcW w:w="0" w:type="auto"/>
          </w:tcPr>
          <w:p w14:paraId="29F11DD6" w14:textId="77777777" w:rsidR="00085C05" w:rsidRDefault="00000000">
            <w:pPr>
              <w:pStyle w:val="Compact"/>
            </w:pPr>
            <w:r>
              <w:t>Continuo desde Fase 0</w:t>
            </w:r>
          </w:p>
        </w:tc>
        <w:tc>
          <w:tcPr>
            <w:tcW w:w="0" w:type="auto"/>
          </w:tcPr>
          <w:p w14:paraId="221267EC" w14:textId="77777777" w:rsidR="00085C05" w:rsidRDefault="00000000">
            <w:pPr>
              <w:pStyle w:val="Compact"/>
            </w:pPr>
            <w:r>
              <w:t>Las violaciones nunca silenciadas son la promesa; un porcentaje bajo indica presets mal calibrados, no usuarios descuidados</w:t>
            </w:r>
          </w:p>
        </w:tc>
      </w:tr>
      <w:tr w:rsidR="00085C05" w14:paraId="297BC6B1" w14:textId="77777777">
        <w:tc>
          <w:tcPr>
            <w:tcW w:w="0" w:type="auto"/>
          </w:tcPr>
          <w:p w14:paraId="4FCC6B7D" w14:textId="77777777" w:rsidR="00085C05" w:rsidRDefault="00000000">
            <w:pPr>
              <w:pStyle w:val="Compact"/>
            </w:pPr>
            <w:r>
              <w:t>Producto</w:t>
            </w:r>
          </w:p>
        </w:tc>
        <w:tc>
          <w:tcPr>
            <w:tcW w:w="0" w:type="auto"/>
          </w:tcPr>
          <w:p w14:paraId="7044766B" w14:textId="77777777" w:rsidR="00085C05" w:rsidRDefault="00000000">
            <w:pPr>
              <w:pStyle w:val="Compact"/>
            </w:pPr>
            <w:r>
              <w:t>EPUB válido a la primera</w:t>
            </w:r>
          </w:p>
        </w:tc>
        <w:tc>
          <w:tcPr>
            <w:tcW w:w="0" w:type="auto"/>
          </w:tcPr>
          <w:p w14:paraId="0D7FE92D" w14:textId="77777777" w:rsidR="00085C05" w:rsidRDefault="00000000">
            <w:pPr>
              <w:pStyle w:val="Compact"/>
            </w:pPr>
            <w:r>
              <w:t>100% de exports pasan EPUBCheck 5.x sin FATAL/ERROR</w:t>
            </w:r>
          </w:p>
        </w:tc>
        <w:tc>
          <w:tcPr>
            <w:tcW w:w="0" w:type="auto"/>
          </w:tcPr>
          <w:p w14:paraId="7F211206" w14:textId="77777777" w:rsidR="00085C05" w:rsidRDefault="00000000">
            <w:pPr>
              <w:pStyle w:val="Compact"/>
            </w:pPr>
            <w:r>
              <w:t>Desde Fase 1 (CI)</w:t>
            </w:r>
          </w:p>
        </w:tc>
        <w:tc>
          <w:tcPr>
            <w:tcW w:w="0" w:type="auto"/>
          </w:tcPr>
          <w:p w14:paraId="32BD769A" w14:textId="77777777" w:rsidR="00085C05" w:rsidRDefault="00000000">
            <w:pPr>
              <w:pStyle w:val="Compact"/>
            </w:pPr>
            <w:r>
              <w:t xml:space="preserve">La validación es la causa bloqueante número uno de rechazo en KDP y retail; incluso herramientas maduras fallan en silencio </w:t>
            </w:r>
            <w:r>
              <w:fldChar w:fldCharType="begin"/>
            </w:r>
            <w:r>
              <w:instrText>NOTEREF _Ref_Footnote_12 \h \f</w:instrText>
            </w:r>
            <w:r>
              <w:fldChar w:fldCharType="separate"/>
            </w:r>
            <w:r>
              <w:rPr>
                <w:vertAlign w:val="superscript"/>
              </w:rPr>
              <w:t>12</w:t>
            </w:r>
            <w:r>
              <w:fldChar w:fldCharType="end"/>
            </w:r>
            <w:r>
              <w:t xml:space="preserve"> </w:t>
            </w:r>
            <w:r>
              <w:fldChar w:fldCharType="begin"/>
            </w:r>
            <w:r>
              <w:instrText>NOTEREF _Ref_Footnote_104 \h \f</w:instrText>
            </w:r>
            <w:r>
              <w:fldChar w:fldCharType="separate"/>
            </w:r>
            <w:r>
              <w:rPr>
                <w:vertAlign w:val="superscript"/>
              </w:rPr>
              <w:t>104</w:t>
            </w:r>
            <w:r>
              <w:fldChar w:fldCharType="end"/>
            </w:r>
          </w:p>
        </w:tc>
      </w:tr>
      <w:tr w:rsidR="00085C05" w14:paraId="28673460" w14:textId="77777777">
        <w:tc>
          <w:tcPr>
            <w:tcW w:w="0" w:type="auto"/>
          </w:tcPr>
          <w:p w14:paraId="0C82387D" w14:textId="77777777" w:rsidR="00085C05" w:rsidRDefault="00000000">
            <w:pPr>
              <w:pStyle w:val="Compact"/>
            </w:pPr>
            <w:r>
              <w:t>Negocio</w:t>
            </w:r>
          </w:p>
        </w:tc>
        <w:tc>
          <w:tcPr>
            <w:tcW w:w="0" w:type="auto"/>
          </w:tcPr>
          <w:p w14:paraId="7ABDD21F" w14:textId="77777777" w:rsidR="00085C05" w:rsidRDefault="00000000">
            <w:pPr>
              <w:pStyle w:val="Compact"/>
            </w:pPr>
            <w:r>
              <w:t>Conversión freemium→Pro a 90 días</w:t>
            </w:r>
          </w:p>
        </w:tc>
        <w:tc>
          <w:tcPr>
            <w:tcW w:w="0" w:type="auto"/>
          </w:tcPr>
          <w:p w14:paraId="5F32F0BC" w14:textId="77777777" w:rsidR="00085C05" w:rsidRDefault="00000000">
            <w:pPr>
              <w:pStyle w:val="Compact"/>
            </w:pPr>
            <w:r>
              <w:t>≥4% de cuentas activadas</w:t>
            </w:r>
          </w:p>
        </w:tc>
        <w:tc>
          <w:tcPr>
            <w:tcW w:w="0" w:type="auto"/>
          </w:tcPr>
          <w:p w14:paraId="404A57B4" w14:textId="77777777" w:rsidR="00085C05" w:rsidRDefault="00000000">
            <w:pPr>
              <w:pStyle w:val="Compact"/>
            </w:pPr>
            <w:r>
              <w:t>Desde lanzamiento comercial (M4-M6)</w:t>
            </w:r>
          </w:p>
        </w:tc>
        <w:tc>
          <w:tcPr>
            <w:tcW w:w="0" w:type="auto"/>
          </w:tcPr>
          <w:p w14:paraId="7F137472" w14:textId="77777777" w:rsidR="00085C05" w:rsidRDefault="00000000">
            <w:pPr>
              <w:pStyle w:val="Compact"/>
            </w:pPr>
            <w:r>
              <w:t xml:space="preserve">Valida el anclaje a $97/año y la disposición a pagar por IA continua </w:t>
            </w:r>
            <w:r>
              <w:fldChar w:fldCharType="begin"/>
            </w:r>
            <w:r>
              <w:instrText>NOTEREF _Ref_Footnote_11 \h \f</w:instrText>
            </w:r>
            <w:r>
              <w:fldChar w:fldCharType="separate"/>
            </w:r>
            <w:r>
              <w:rPr>
                <w:vertAlign w:val="superscript"/>
              </w:rPr>
              <w:t>11</w:t>
            </w:r>
            <w:r>
              <w:fldChar w:fldCharType="end"/>
            </w:r>
          </w:p>
        </w:tc>
      </w:tr>
      <w:tr w:rsidR="00085C05" w14:paraId="7487C0C4" w14:textId="77777777">
        <w:tc>
          <w:tcPr>
            <w:tcW w:w="0" w:type="auto"/>
          </w:tcPr>
          <w:p w14:paraId="1A50FD33" w14:textId="77777777" w:rsidR="00085C05" w:rsidRDefault="00000000">
            <w:pPr>
              <w:pStyle w:val="Compact"/>
            </w:pPr>
            <w:r>
              <w:t>Negocio</w:t>
            </w:r>
          </w:p>
        </w:tc>
        <w:tc>
          <w:tcPr>
            <w:tcW w:w="0" w:type="auto"/>
          </w:tcPr>
          <w:p w14:paraId="300E5B74" w14:textId="77777777" w:rsidR="00085C05" w:rsidRDefault="00000000">
            <w:pPr>
              <w:pStyle w:val="Compact"/>
            </w:pPr>
            <w:r>
              <w:t>MRR y retención neta</w:t>
            </w:r>
          </w:p>
        </w:tc>
        <w:tc>
          <w:tcPr>
            <w:tcW w:w="0" w:type="auto"/>
          </w:tcPr>
          <w:p w14:paraId="31D74762" w14:textId="77777777" w:rsidR="00085C05" w:rsidRDefault="00000000">
            <w:pPr>
              <w:pStyle w:val="Compact"/>
            </w:pPr>
            <w:r>
              <w:t>MRR creciente dos dígitos/mes; churn mensual &lt;4%</w:t>
            </w:r>
          </w:p>
        </w:tc>
        <w:tc>
          <w:tcPr>
            <w:tcW w:w="0" w:type="auto"/>
          </w:tcPr>
          <w:p w14:paraId="2ADA5711" w14:textId="77777777" w:rsidR="00085C05" w:rsidRDefault="00000000">
            <w:pPr>
              <w:pStyle w:val="Compact"/>
            </w:pPr>
            <w:r>
              <w:t>Desde M6</w:t>
            </w:r>
          </w:p>
        </w:tc>
        <w:tc>
          <w:tcPr>
            <w:tcW w:w="0" w:type="auto"/>
          </w:tcPr>
          <w:p w14:paraId="154AE033" w14:textId="77777777" w:rsidR="00085C05" w:rsidRDefault="00000000">
            <w:pPr>
              <w:pStyle w:val="Compact"/>
            </w:pPr>
            <w:r>
              <w:t>La retención es la prueba de que la recomposición es un hábito, no una demo</w:t>
            </w:r>
          </w:p>
        </w:tc>
      </w:tr>
      <w:tr w:rsidR="00085C05" w14:paraId="7E3679C8" w14:textId="77777777">
        <w:tc>
          <w:tcPr>
            <w:tcW w:w="0" w:type="auto"/>
          </w:tcPr>
          <w:p w14:paraId="16FB20E8" w14:textId="77777777" w:rsidR="00085C05" w:rsidRDefault="00000000">
            <w:pPr>
              <w:pStyle w:val="Compact"/>
            </w:pPr>
            <w:r>
              <w:t>Negocio</w:t>
            </w:r>
          </w:p>
        </w:tc>
        <w:tc>
          <w:tcPr>
            <w:tcW w:w="0" w:type="auto"/>
          </w:tcPr>
          <w:p w14:paraId="3B2A27F1" w14:textId="77777777" w:rsidR="00085C05" w:rsidRDefault="00000000">
            <w:pPr>
              <w:pStyle w:val="Compact"/>
            </w:pPr>
            <w:r>
              <w:t>Activación del onboarding</w:t>
            </w:r>
          </w:p>
        </w:tc>
        <w:tc>
          <w:tcPr>
            <w:tcW w:w="0" w:type="auto"/>
          </w:tcPr>
          <w:p w14:paraId="5B4B2336" w14:textId="77777777" w:rsidR="00085C05" w:rsidRDefault="00000000">
            <w:pPr>
              <w:pStyle w:val="Compact"/>
            </w:pPr>
            <w:r>
              <w:t>≥60% completa importación + recomposición en &lt;10 min</w:t>
            </w:r>
          </w:p>
        </w:tc>
        <w:tc>
          <w:tcPr>
            <w:tcW w:w="0" w:type="auto"/>
          </w:tcPr>
          <w:p w14:paraId="6C92C693" w14:textId="77777777" w:rsidR="00085C05" w:rsidRDefault="00000000">
            <w:pPr>
              <w:pStyle w:val="Compact"/>
            </w:pPr>
            <w:r>
              <w:t>Desde Fase 0</w:t>
            </w:r>
          </w:p>
        </w:tc>
        <w:tc>
          <w:tcPr>
            <w:tcW w:w="0" w:type="auto"/>
          </w:tcPr>
          <w:p w14:paraId="55D8EE30" w14:textId="77777777" w:rsidR="00085C05" w:rsidRDefault="00000000">
            <w:pPr>
              <w:pStyle w:val="Compact"/>
            </w:pPr>
            <w:r>
              <w:t>El “momento nunca-más” es el predictor principal de conversión</w:t>
            </w:r>
          </w:p>
        </w:tc>
      </w:tr>
      <w:tr w:rsidR="00085C05" w14:paraId="5BC8AB1F" w14:textId="77777777">
        <w:tc>
          <w:tcPr>
            <w:tcW w:w="0" w:type="auto"/>
          </w:tcPr>
          <w:p w14:paraId="0AEADF67" w14:textId="77777777" w:rsidR="00085C05" w:rsidRDefault="00000000">
            <w:pPr>
              <w:pStyle w:val="Compact"/>
            </w:pPr>
            <w:r>
              <w:t>Dolor</w:t>
            </w:r>
          </w:p>
        </w:tc>
        <w:tc>
          <w:tcPr>
            <w:tcW w:w="0" w:type="auto"/>
          </w:tcPr>
          <w:p w14:paraId="6F891BB3" w14:textId="77777777" w:rsidR="00085C05" w:rsidRDefault="00000000">
            <w:pPr>
              <w:pStyle w:val="Compact"/>
            </w:pPr>
            <w:r>
              <w:t>Tiempo manuscrito→producto publicado</w:t>
            </w:r>
          </w:p>
        </w:tc>
        <w:tc>
          <w:tcPr>
            <w:tcW w:w="0" w:type="auto"/>
          </w:tcPr>
          <w:p w14:paraId="79F8A573" w14:textId="77777777" w:rsidR="00085C05" w:rsidRDefault="00000000">
            <w:pPr>
              <w:pStyle w:val="Compact"/>
            </w:pPr>
            <w:r>
              <w:t>&lt;1 día para lead magnet; &lt;1 semana para libro completo</w:t>
            </w:r>
          </w:p>
        </w:tc>
        <w:tc>
          <w:tcPr>
            <w:tcW w:w="0" w:type="auto"/>
          </w:tcPr>
          <w:p w14:paraId="52F01DB2" w14:textId="77777777" w:rsidR="00085C05" w:rsidRDefault="00000000">
            <w:pPr>
              <w:pStyle w:val="Compact"/>
            </w:pPr>
            <w:r>
              <w:t>Trimestral (encuesta de clientes)</w:t>
            </w:r>
          </w:p>
        </w:tc>
        <w:tc>
          <w:tcPr>
            <w:tcW w:w="0" w:type="auto"/>
          </w:tcPr>
          <w:p w14:paraId="60B00550" w14:textId="77777777" w:rsidR="00085C05" w:rsidRDefault="00000000">
            <w:pPr>
              <w:pStyle w:val="Compact"/>
            </w:pPr>
            <w:r>
              <w:t xml:space="preserve">El status quo mide semanas y $475-1.275 por libro en formateo humano; esta métrica es el ROI que el marketing comunica </w:t>
            </w:r>
            <w:r>
              <w:fldChar w:fldCharType="begin"/>
            </w:r>
            <w:r>
              <w:instrText>NOTEREF _Ref_Footnote_6 \h \f</w:instrText>
            </w:r>
            <w:r>
              <w:fldChar w:fldCharType="separate"/>
            </w:r>
            <w:r>
              <w:t>6</w:t>
            </w:r>
            <w:r>
              <w:fldChar w:fldCharType="end"/>
            </w:r>
            <w:r>
              <w:t xml:space="preserve"> </w:t>
            </w:r>
            <w:r>
              <w:rPr>
                <w:vertAlign w:val="superscript"/>
              </w:rPr>
              <w:footnoteReference w:id="150"/>
            </w:r>
          </w:p>
        </w:tc>
      </w:tr>
      <w:tr w:rsidR="00085C05" w14:paraId="26566473" w14:textId="77777777">
        <w:tc>
          <w:tcPr>
            <w:tcW w:w="0" w:type="auto"/>
          </w:tcPr>
          <w:p w14:paraId="3C59B508" w14:textId="77777777" w:rsidR="00085C05" w:rsidRDefault="00000000">
            <w:pPr>
              <w:pStyle w:val="Compact"/>
            </w:pPr>
            <w:r>
              <w:t>Dolor</w:t>
            </w:r>
          </w:p>
        </w:tc>
        <w:tc>
          <w:tcPr>
            <w:tcW w:w="0" w:type="auto"/>
          </w:tcPr>
          <w:p w14:paraId="5882B58B" w14:textId="77777777" w:rsidR="00085C05" w:rsidRDefault="00000000">
            <w:pPr>
              <w:pStyle w:val="Compact"/>
            </w:pPr>
            <w:r>
              <w:t>Revisiones sin rehacer estructura</w:t>
            </w:r>
          </w:p>
        </w:tc>
        <w:tc>
          <w:tcPr>
            <w:tcW w:w="0" w:type="auto"/>
          </w:tcPr>
          <w:p w14:paraId="297B73D5" w14:textId="77777777" w:rsidR="00085C05" w:rsidRDefault="00000000">
            <w:pPr>
              <w:pStyle w:val="Compact"/>
            </w:pPr>
            <w:r>
              <w:t>≥90% de reimportaciones DOCX resueltas con diff, sin trabajo manual</w:t>
            </w:r>
          </w:p>
        </w:tc>
        <w:tc>
          <w:tcPr>
            <w:tcW w:w="0" w:type="auto"/>
          </w:tcPr>
          <w:p w14:paraId="00178029" w14:textId="77777777" w:rsidR="00085C05" w:rsidRDefault="00000000">
            <w:pPr>
              <w:pStyle w:val="Compact"/>
            </w:pPr>
            <w:r>
              <w:t>Desde Fase 0, refinado en Fase 2</w:t>
            </w:r>
          </w:p>
        </w:tc>
        <w:tc>
          <w:tcPr>
            <w:tcW w:w="0" w:type="auto"/>
          </w:tcPr>
          <w:p w14:paraId="209C46D7" w14:textId="77777777" w:rsidR="00085C05" w:rsidRDefault="00000000">
            <w:pPr>
              <w:pStyle w:val="Compact"/>
            </w:pPr>
            <w:r>
              <w:t xml:space="preserve">El round-trip roto es el diferenciador más defendible: si esta métrica cae, el foso se cierra </w:t>
            </w:r>
            <w:r>
              <w:fldChar w:fldCharType="begin"/>
            </w:r>
            <w:r>
              <w:instrText>NOTEREF _Ref_Footnote_69 \h \f</w:instrText>
            </w:r>
            <w:r>
              <w:fldChar w:fldCharType="separate"/>
            </w:r>
            <w:r>
              <w:rPr>
                <w:vertAlign w:val="superscript"/>
              </w:rPr>
              <w:t>69</w:t>
            </w:r>
            <w:r>
              <w:fldChar w:fldCharType="end"/>
            </w:r>
          </w:p>
        </w:tc>
      </w:tr>
    </w:tbl>
    <w:p w14:paraId="5B5855AF" w14:textId="77777777" w:rsidR="00085C05" w:rsidRDefault="00000000">
      <w:pPr>
        <w:pStyle w:val="BodyText"/>
      </w:pPr>
      <w:r>
        <w:t>La tabla tiene una lógica de gobierno que conviene explicitar. Las métricas de producto son de protección: si el p95 de recomposición supera el presupuesto o los EPUB empiezan a fallar en CI, el plan se detiene en la fase en curso, porque la credibilidad de todo lo demás descansa sobre esas dos cifras. Las de negocio son de decisión: una conversión freemium persistentemente por debajo del 2% a los seis meses del lanzamiento obligaría a revisar el anclaje de precio antes de comprometer los 14-18 persona-mes de la Fase 3. Y las de dolor son de verdad estratégica: el tiempo manuscrito→producto publicado es la única cifra que conecta con el willingness to pay documentado del mercado, y la que debe protagonizar los casos de éxito. El riesgo del cuadro es la vanidad —medir usuarios registrados en lugar de activados—; por eso todas las filas miden comportamiento o resultado, nunca volumen bruto.</w:t>
      </w:r>
    </w:p>
    <w:p w14:paraId="66DC0678" w14:textId="77777777" w:rsidR="00085C05" w:rsidRDefault="00000000">
      <w:pPr>
        <w:pStyle w:val="Heading3"/>
      </w:pPr>
      <w:bookmarkStart w:id="219" w:name="riesgos-y-mitigaciones"/>
      <w:bookmarkEnd w:id="216"/>
      <w:bookmarkEnd w:id="217"/>
      <w:r>
        <w:t>5.4 Riesgos y mitigaciones</w:t>
      </w:r>
    </w:p>
    <w:p w14:paraId="21F11904" w14:textId="77777777" w:rsidR="00085C05" w:rsidRDefault="00000000">
      <w:pPr>
        <w:pStyle w:val="FirstParagraph"/>
      </w:pPr>
      <w:r>
        <w:rPr>
          <w:b/>
          <w:bCs/>
        </w:rPr>
        <w:t>Tabla 2. Registro de riesgos del plan y mitigaciones</w:t>
      </w:r>
    </w:p>
    <w:tbl>
      <w:tblPr>
        <w:tblStyle w:val="Table"/>
        <w:tblW w:w="5000" w:type="pct"/>
        <w:tblLook w:val="0020" w:firstRow="1" w:lastRow="0" w:firstColumn="0" w:lastColumn="0" w:noHBand="0" w:noVBand="0"/>
      </w:tblPr>
      <w:tblGrid>
        <w:gridCol w:w="2299"/>
        <w:gridCol w:w="1541"/>
        <w:gridCol w:w="1066"/>
        <w:gridCol w:w="2240"/>
        <w:gridCol w:w="1908"/>
      </w:tblGrid>
      <w:tr w:rsidR="00085C05" w14:paraId="0329BA93" w14:textId="77777777" w:rsidTr="00085C05">
        <w:trPr>
          <w:cnfStyle w:val="100000000000" w:firstRow="1" w:lastRow="0" w:firstColumn="0" w:lastColumn="0" w:oddVBand="0" w:evenVBand="0" w:oddHBand="0" w:evenHBand="0" w:firstRowFirstColumn="0" w:firstRowLastColumn="0" w:lastRowFirstColumn="0" w:lastRowLastColumn="0"/>
          <w:tblHeader/>
        </w:trPr>
        <w:tc>
          <w:tcPr>
            <w:tcW w:w="0" w:type="auto"/>
          </w:tcPr>
          <w:p w14:paraId="395965C0" w14:textId="77777777" w:rsidR="00085C05" w:rsidRDefault="00000000">
            <w:pPr>
              <w:pStyle w:val="Compact"/>
            </w:pPr>
            <w:r>
              <w:t>Riesgo</w:t>
            </w:r>
          </w:p>
        </w:tc>
        <w:tc>
          <w:tcPr>
            <w:tcW w:w="0" w:type="auto"/>
          </w:tcPr>
          <w:p w14:paraId="35A1528A" w14:textId="77777777" w:rsidR="00085C05" w:rsidRDefault="00000000">
            <w:pPr>
              <w:pStyle w:val="Compact"/>
            </w:pPr>
            <w:r>
              <w:t>Probabilidad</w:t>
            </w:r>
          </w:p>
        </w:tc>
        <w:tc>
          <w:tcPr>
            <w:tcW w:w="0" w:type="auto"/>
          </w:tcPr>
          <w:p w14:paraId="08E83F2B" w14:textId="77777777" w:rsidR="00085C05" w:rsidRDefault="00000000">
            <w:pPr>
              <w:pStyle w:val="Compact"/>
            </w:pPr>
            <w:r>
              <w:t>Impacto</w:t>
            </w:r>
          </w:p>
        </w:tc>
        <w:tc>
          <w:tcPr>
            <w:tcW w:w="0" w:type="auto"/>
          </w:tcPr>
          <w:p w14:paraId="50CC0F97" w14:textId="77777777" w:rsidR="00085C05" w:rsidRDefault="00000000">
            <w:pPr>
              <w:pStyle w:val="Compact"/>
            </w:pPr>
            <w:r>
              <w:t>Mitigación principal</w:t>
            </w:r>
          </w:p>
        </w:tc>
        <w:tc>
          <w:tcPr>
            <w:tcW w:w="0" w:type="auto"/>
          </w:tcPr>
          <w:p w14:paraId="3F7EEBD2" w14:textId="77777777" w:rsidR="00085C05" w:rsidRDefault="00000000">
            <w:pPr>
              <w:pStyle w:val="Compact"/>
            </w:pPr>
            <w:r>
              <w:t>Señal temprana</w:t>
            </w:r>
          </w:p>
        </w:tc>
      </w:tr>
      <w:tr w:rsidR="00085C05" w14:paraId="35AFE62E" w14:textId="77777777">
        <w:tc>
          <w:tcPr>
            <w:tcW w:w="0" w:type="auto"/>
          </w:tcPr>
          <w:p w14:paraId="72E7405D" w14:textId="77777777" w:rsidR="00085C05" w:rsidRDefault="00000000">
            <w:pPr>
              <w:pStyle w:val="Compact"/>
            </w:pPr>
            <w:r>
              <w:t xml:space="preserve">Técnico: export paginado web incompleto (CSS Paged Media sin </w:t>
            </w:r>
            <w:r>
              <w:rPr>
                <w:rStyle w:val="VerbatimChar"/>
              </w:rPr>
              <w:t>target-counter</w:t>
            </w:r>
            <w:r>
              <w:t>/running headers; Paged.js semi-mantenido)</w:t>
            </w:r>
          </w:p>
        </w:tc>
        <w:tc>
          <w:tcPr>
            <w:tcW w:w="0" w:type="auto"/>
          </w:tcPr>
          <w:p w14:paraId="2C9D1B03" w14:textId="77777777" w:rsidR="00085C05" w:rsidRDefault="00000000">
            <w:pPr>
              <w:pStyle w:val="Compact"/>
            </w:pPr>
            <w:r>
              <w:t>Alta</w:t>
            </w:r>
          </w:p>
        </w:tc>
        <w:tc>
          <w:tcPr>
            <w:tcW w:w="0" w:type="auto"/>
          </w:tcPr>
          <w:p w14:paraId="222209CC" w14:textId="77777777" w:rsidR="00085C05" w:rsidRDefault="00000000">
            <w:pPr>
              <w:pStyle w:val="Compact"/>
            </w:pPr>
            <w:r>
              <w:t>Alto</w:t>
            </w:r>
          </w:p>
        </w:tc>
        <w:tc>
          <w:tcPr>
            <w:tcW w:w="0" w:type="auto"/>
          </w:tcPr>
          <w:p w14:paraId="0EDEAA6F" w14:textId="77777777" w:rsidR="00085C05" w:rsidRDefault="00000000">
            <w:pPr>
              <w:pStyle w:val="Compact"/>
            </w:pPr>
            <w:r>
              <w:t>Mantener el motor propio como fundación; Paged.js solo como fallback; bucle de estabilización acotado y degradación elegante</w:t>
            </w:r>
          </w:p>
        </w:tc>
        <w:tc>
          <w:tcPr>
            <w:tcW w:w="0" w:type="auto"/>
          </w:tcPr>
          <w:p w14:paraId="0F3D1734" w14:textId="77777777" w:rsidR="00085C05" w:rsidRDefault="00000000">
            <w:pPr>
              <w:pStyle w:val="Compact"/>
            </w:pPr>
            <w:r>
              <w:t>p95 de recomposición degradándose en libros densos en TOC/refs</w:t>
            </w:r>
          </w:p>
        </w:tc>
      </w:tr>
      <w:tr w:rsidR="00085C05" w14:paraId="459466BA" w14:textId="77777777">
        <w:tc>
          <w:tcPr>
            <w:tcW w:w="0" w:type="auto"/>
          </w:tcPr>
          <w:p w14:paraId="381E46B5" w14:textId="77777777" w:rsidR="00085C05" w:rsidRDefault="00000000">
            <w:pPr>
              <w:pStyle w:val="Compact"/>
            </w:pPr>
            <w:r>
              <w:t>Competitivo: la ola end-to-end añade gobernanza en ~12 meses</w:t>
            </w:r>
          </w:p>
        </w:tc>
        <w:tc>
          <w:tcPr>
            <w:tcW w:w="0" w:type="auto"/>
          </w:tcPr>
          <w:p w14:paraId="7C8B58FB" w14:textId="77777777" w:rsidR="00085C05" w:rsidRDefault="00000000">
            <w:pPr>
              <w:pStyle w:val="Compact"/>
            </w:pPr>
            <w:r>
              <w:t>Media-alta</w:t>
            </w:r>
          </w:p>
        </w:tc>
        <w:tc>
          <w:tcPr>
            <w:tcW w:w="0" w:type="auto"/>
          </w:tcPr>
          <w:p w14:paraId="08E17D1D" w14:textId="77777777" w:rsidR="00085C05" w:rsidRDefault="00000000">
            <w:pPr>
              <w:pStyle w:val="Compact"/>
            </w:pPr>
            <w:r>
              <w:t>Muy alto</w:t>
            </w:r>
          </w:p>
        </w:tc>
        <w:tc>
          <w:tcPr>
            <w:tcW w:w="0" w:type="auto"/>
          </w:tcPr>
          <w:p w14:paraId="4D89729D" w14:textId="77777777" w:rsidR="00085C05" w:rsidRDefault="00000000">
            <w:pPr>
              <w:pStyle w:val="Compact"/>
            </w:pPr>
            <w:r>
              <w:t>Velocidad en F1-F2 (elegibilidad + plantillas antes del corte); foso de datos y reglas sobre el AST, que los generadores no poseen</w:t>
            </w:r>
          </w:p>
        </w:tc>
        <w:tc>
          <w:tcPr>
            <w:tcW w:w="0" w:type="auto"/>
          </w:tcPr>
          <w:p w14:paraId="2CFEC9E7" w14:textId="77777777" w:rsidR="00085C05" w:rsidRDefault="00000000">
            <w:pPr>
              <w:pStyle w:val="Compact"/>
            </w:pPr>
            <w:r>
              <w:t xml:space="preserve">End-to-end &lt;$20/mes anunciando coherencia entre capítulos o QA editorial </w:t>
            </w:r>
            <w:r>
              <w:fldChar w:fldCharType="begin"/>
            </w:r>
            <w:r>
              <w:instrText>NOTEREF _Ref_Footnote_56 \h \f</w:instrText>
            </w:r>
            <w:r>
              <w:fldChar w:fldCharType="separate"/>
            </w:r>
            <w:r>
              <w:rPr>
                <w:vertAlign w:val="superscript"/>
              </w:rPr>
              <w:t>56</w:t>
            </w:r>
            <w:r>
              <w:fldChar w:fldCharType="end"/>
            </w:r>
          </w:p>
        </w:tc>
      </w:tr>
      <w:tr w:rsidR="00085C05" w14:paraId="2BA629C8" w14:textId="77777777">
        <w:tc>
          <w:tcPr>
            <w:tcW w:w="0" w:type="auto"/>
          </w:tcPr>
          <w:p w14:paraId="6935D62B" w14:textId="77777777" w:rsidR="00085C05" w:rsidRDefault="00000000">
            <w:pPr>
              <w:pStyle w:val="Compact"/>
            </w:pPr>
            <w:r>
              <w:t>Producto: complejidad cognitiva (el “precipicio” de Scrivener)</w:t>
            </w:r>
          </w:p>
        </w:tc>
        <w:tc>
          <w:tcPr>
            <w:tcW w:w="0" w:type="auto"/>
          </w:tcPr>
          <w:p w14:paraId="51661F57" w14:textId="77777777" w:rsidR="00085C05" w:rsidRDefault="00000000">
            <w:pPr>
              <w:pStyle w:val="Compact"/>
            </w:pPr>
            <w:r>
              <w:t>Media</w:t>
            </w:r>
          </w:p>
        </w:tc>
        <w:tc>
          <w:tcPr>
            <w:tcW w:w="0" w:type="auto"/>
          </w:tcPr>
          <w:p w14:paraId="55CD1FC6" w14:textId="77777777" w:rsidR="00085C05" w:rsidRDefault="00000000">
            <w:pPr>
              <w:pStyle w:val="Compact"/>
            </w:pPr>
            <w:r>
              <w:t>Alto</w:t>
            </w:r>
          </w:p>
        </w:tc>
        <w:tc>
          <w:tcPr>
            <w:tcW w:w="0" w:type="auto"/>
          </w:tcPr>
          <w:p w14:paraId="3948E099" w14:textId="77777777" w:rsidR="00085C05" w:rsidRDefault="00000000">
            <w:pPr>
              <w:pStyle w:val="Compact"/>
            </w:pPr>
            <w:r>
              <w:t>Presets narrados; comportamiento premium: autocorregir lo seguro, avisar lo dudoso; orden de precedencia de reglas visible</w:t>
            </w:r>
          </w:p>
        </w:tc>
        <w:tc>
          <w:tcPr>
            <w:tcW w:w="0" w:type="auto"/>
          </w:tcPr>
          <w:p w14:paraId="3BDD161D" w14:textId="77777777" w:rsidR="00085C05" w:rsidRDefault="00000000">
            <w:pPr>
              <w:pStyle w:val="Compact"/>
            </w:pPr>
            <w:r>
              <w:t>Usuarios atascados en configuración de reglas en tests de usabilidad</w:t>
            </w:r>
          </w:p>
        </w:tc>
      </w:tr>
      <w:tr w:rsidR="00085C05" w14:paraId="4919B407" w14:textId="77777777">
        <w:tc>
          <w:tcPr>
            <w:tcW w:w="0" w:type="auto"/>
          </w:tcPr>
          <w:p w14:paraId="209DAFEE" w14:textId="77777777" w:rsidR="00085C05" w:rsidRDefault="00000000">
            <w:pPr>
              <w:pStyle w:val="Compact"/>
            </w:pPr>
            <w:r>
              <w:t>Mercado: rechazo ético a la IA</w:t>
            </w:r>
          </w:p>
        </w:tc>
        <w:tc>
          <w:tcPr>
            <w:tcW w:w="0" w:type="auto"/>
          </w:tcPr>
          <w:p w14:paraId="5C7301DE" w14:textId="77777777" w:rsidR="00085C05" w:rsidRDefault="00000000">
            <w:pPr>
              <w:pStyle w:val="Compact"/>
            </w:pPr>
            <w:r>
              <w:t>Media</w:t>
            </w:r>
          </w:p>
        </w:tc>
        <w:tc>
          <w:tcPr>
            <w:tcW w:w="0" w:type="auto"/>
          </w:tcPr>
          <w:p w14:paraId="431B9BA2" w14:textId="77777777" w:rsidR="00085C05" w:rsidRDefault="00000000">
            <w:pPr>
              <w:pStyle w:val="Compact"/>
            </w:pPr>
            <w:r>
              <w:t>Medio-alto</w:t>
            </w:r>
          </w:p>
        </w:tc>
        <w:tc>
          <w:tcPr>
            <w:tcW w:w="0" w:type="auto"/>
          </w:tcPr>
          <w:p w14:paraId="152E649B" w14:textId="77777777" w:rsidR="00085C05" w:rsidRDefault="00000000">
            <w:pPr>
              <w:pStyle w:val="Compact"/>
            </w:pPr>
            <w:r>
              <w:t>Posicionamiento de asistente gobernado con disclosure automático; IA opcional y etiquetada por bloque</w:t>
            </w:r>
          </w:p>
        </w:tc>
        <w:tc>
          <w:tcPr>
            <w:tcW w:w="0" w:type="auto"/>
          </w:tcPr>
          <w:p w14:paraId="2FD63E1D" w14:textId="77777777" w:rsidR="00085C05" w:rsidRDefault="00000000">
            <w:pPr>
              <w:pStyle w:val="Compact"/>
            </w:pPr>
            <w:r>
              <w:t>Backlash en comunidades de autores; caída de conversión al activar features IA</w:t>
            </w:r>
          </w:p>
        </w:tc>
      </w:tr>
    </w:tbl>
    <w:p w14:paraId="7A1C540B" w14:textId="77777777" w:rsidR="00085C05" w:rsidRDefault="00000000">
      <w:pPr>
        <w:pStyle w:val="Heading4"/>
      </w:pPr>
      <w:bookmarkStart w:id="220" w:name="Xc34d7f2f99978933c4fa22607e44572af16affb"/>
      <w:r>
        <w:t>5.4.1 Riesgo técnico: el export paginado web no está resuelto por el estándar</w:t>
      </w:r>
    </w:p>
    <w:p w14:paraId="2BD13298" w14:textId="77777777" w:rsidR="00085C05" w:rsidRDefault="00000000">
      <w:pPr>
        <w:pStyle w:val="FirstParagraph"/>
      </w:pPr>
      <w:r>
        <w:t>El riesgo técnico principal no es de ejecución sino de terreno: las primitivas que el export paginado necesita —números de página en el índice y en referencias (</w:t>
      </w:r>
      <w:r>
        <w:rPr>
          <w:rStyle w:val="VerbatimChar"/>
        </w:rPr>
        <w:t>target-counter</w:t>
      </w:r>
      <w:r>
        <w:t xml:space="preserve">), running headers, </w:t>
      </w:r>
      <w:r>
        <w:rPr>
          <w:rStyle w:val="VerbatimChar"/>
        </w:rPr>
        <w:t>leader()</w:t>
      </w:r>
      <w:r>
        <w:t xml:space="preserve">, marcadores PDF— no existen de forma nativa en ningún navegador, Paged.js las cubre con mantenimiento dudoso (v0.4.3, roturas recientes con ecosistemas modernos) y Vivliostyle las cubre pero bajo AGPL v3, incompatible con un SaaS propietario </w:t>
      </w:r>
      <w:r>
        <w:fldChar w:fldCharType="begin"/>
      </w:r>
      <w:r>
        <w:instrText>NOTEREF _Ref_Footnote_133 \h \f</w:instrText>
      </w:r>
      <w:r>
        <w:fldChar w:fldCharType="separate"/>
      </w:r>
      <w:r>
        <w:rPr>
          <w:vertAlign w:val="superscript"/>
        </w:rPr>
        <w:t>133</w:t>
      </w:r>
      <w:r>
        <w:fldChar w:fldCharType="end"/>
      </w:r>
      <w:r>
        <w:t xml:space="preserve"> </w:t>
      </w:r>
      <w:r>
        <w:fldChar w:fldCharType="begin"/>
      </w:r>
      <w:r>
        <w:instrText>NOTEREF _Ref_Footnote_134 \h \f</w:instrText>
      </w:r>
      <w:r>
        <w:fldChar w:fldCharType="separate"/>
      </w:r>
      <w:r>
        <w:rPr>
          <w:vertAlign w:val="superscript"/>
        </w:rPr>
        <w:t>134</w:t>
      </w:r>
      <w:r>
        <w:fldChar w:fldCharType="end"/>
      </w:r>
      <w:r>
        <w:t xml:space="preserve"> </w:t>
      </w:r>
      <w:r>
        <w:fldChar w:fldCharType="begin"/>
      </w:r>
      <w:r>
        <w:instrText>NOTEREF _Ref_Footnote_135 \h \f</w:instrText>
      </w:r>
      <w:r>
        <w:fldChar w:fldCharType="separate"/>
      </w:r>
      <w:r>
        <w:rPr>
          <w:vertAlign w:val="superscript"/>
        </w:rPr>
        <w:t>135</w:t>
      </w:r>
      <w:r>
        <w:fldChar w:fldCharType="end"/>
      </w:r>
      <w:r>
        <w:t xml:space="preserve">. La mitigación es una decisión arquitectónica ya tomada en el capítulo 4 y aquí elevada a política: el motor propio sigue siendo la fundación del preview y del export, porque al computar posiciones y numeración él mismo elude la dependencia del estándar incompleto; las herramientas externas se admiten solo como fallback y nunca como base </w:t>
      </w:r>
      <w:r>
        <w:fldChar w:fldCharType="begin"/>
      </w:r>
      <w:r>
        <w:instrText>NOTEREF _Ref_Footnote_1 \h \f</w:instrText>
      </w:r>
      <w:r>
        <w:fldChar w:fldCharType="separate"/>
      </w:r>
      <w:r>
        <w:t>1</w:t>
      </w:r>
      <w:r>
        <w:fldChar w:fldCharType="end"/>
      </w:r>
      <w:r>
        <w:t xml:space="preserve">. El segundo frente del mismo riesgo es de escala: el mejor precedente incremental (Typst) mide ~600 ms en una tesis y ~15 s en 2.500 páginas, así que el presupuesto &lt;300 ms exige cache fina por bloque, bucle de estabilización acotado y degradación elegante cuando un libro grande lo exceda </w:t>
      </w:r>
      <w:r>
        <w:fldChar w:fldCharType="begin"/>
      </w:r>
      <w:r>
        <w:instrText>NOTEREF _Ref_Footnote_128 \h \f</w:instrText>
      </w:r>
      <w:r>
        <w:fldChar w:fldCharType="separate"/>
      </w:r>
      <w:r>
        <w:rPr>
          <w:vertAlign w:val="superscript"/>
        </w:rPr>
        <w:t>128</w:t>
      </w:r>
      <w:r>
        <w:fldChar w:fldCharType="end"/>
      </w:r>
      <w:r>
        <w:t>. La señal temprana está en la propia tabla de métricas: un p95 creciente en documentos densos es el aviso de que el foso de velocidad se está erosionando antes de que el marketing lo note.</w:t>
      </w:r>
    </w:p>
    <w:p w14:paraId="138EA9CB" w14:textId="77777777" w:rsidR="00085C05" w:rsidRDefault="00000000">
      <w:pPr>
        <w:pStyle w:val="Heading4"/>
      </w:pPr>
      <w:bookmarkStart w:id="221" w:name="Xe07c3ef63e2b68fca62c25435bd5c0132480662"/>
      <w:bookmarkEnd w:id="220"/>
      <w:r>
        <w:t>5.4.2 Riesgo competitivo: la ola end-to-end sube hacia la gobernanza</w:t>
      </w:r>
    </w:p>
    <w:p w14:paraId="6314898A" w14:textId="77777777" w:rsidR="00085C05" w:rsidRDefault="00000000">
      <w:pPr>
        <w:pStyle w:val="FirstParagraph"/>
      </w:pPr>
      <w:r>
        <w:t xml:space="preserve">La ola end-to-end barata —pipeline completo idea→producto vendible por $9,99-19,99/mes, con export KDP-ready y publicación directa— hoy produce borradores incoherentes entre capítulos, pero nada estructural le impide añadir coherencia y QA en un horizonte de unos doce meses </w:t>
      </w:r>
      <w:r>
        <w:fldChar w:fldCharType="begin"/>
      </w:r>
      <w:r>
        <w:instrText>NOTEREF _Ref_Footnote_56 \h \f</w:instrText>
      </w:r>
      <w:r>
        <w:fldChar w:fldCharType="separate"/>
      </w:r>
      <w:r>
        <w:rPr>
          <w:vertAlign w:val="superscript"/>
        </w:rPr>
        <w:t>56</w:t>
      </w:r>
      <w:r>
        <w:fldChar w:fldCharType="end"/>
      </w:r>
      <w:r>
        <w:t xml:space="preserve"> </w:t>
      </w:r>
      <w:r>
        <w:fldChar w:fldCharType="begin"/>
      </w:r>
      <w:r>
        <w:instrText>NOTEREF _Ref_Footnote_52 \h \f</w:instrText>
      </w:r>
      <w:r>
        <w:fldChar w:fldCharType="separate"/>
      </w:r>
      <w:r>
        <w:rPr>
          <w:vertAlign w:val="superscript"/>
        </w:rPr>
        <w:t>52</w:t>
      </w:r>
      <w:r>
        <w:fldChar w:fldCharType="end"/>
      </w:r>
      <w:r>
        <w:t xml:space="preserve">. La mitigación es doble y de calendario. Primera, velocidad: las Fases 1 y 2 deben cerrar antes del mes 8 para que, cuando un competidor anuncie gobernanza, Anclora ya tenga EPUB con pre-flight por canal, plantillas y multi-formato en producción con clientes pagando. Segunda, foso: la gobernanza real exige un modelo semántico del documento —reglas, AST, procedencia por bloque— que los generadores one-click no tienen y no pueden adquirir con un sprint; la acumulación de presets, reglas por nicho y datos de uso convierte cada mes de ventaja en profundidad de dominio. El mercado además juega a favor del posicionamiento: el contenido IA de baja calidad sufre devoluciones un 41% superiores y boicot de lectores, de modo que “calidad gobernada” es una cuña que el tiempo agranda, no que cierra </w:t>
      </w:r>
      <w:r>
        <w:fldChar w:fldCharType="begin"/>
      </w:r>
      <w:r>
        <w:instrText>NOTEREF _Ref_Footnote_53 \h \f</w:instrText>
      </w:r>
      <w:r>
        <w:fldChar w:fldCharType="separate"/>
      </w:r>
      <w:r>
        <w:rPr>
          <w:vertAlign w:val="superscript"/>
        </w:rPr>
        <w:t>53</w:t>
      </w:r>
      <w:r>
        <w:fldChar w:fldCharType="end"/>
      </w:r>
      <w:r>
        <w:t>.</w:t>
      </w:r>
    </w:p>
    <w:p w14:paraId="25ED6733" w14:textId="77777777" w:rsidR="00085C05" w:rsidRDefault="00000000">
      <w:pPr>
        <w:pStyle w:val="Heading4"/>
      </w:pPr>
      <w:bookmarkStart w:id="222" w:name="Xc05c11584c0ec2a9524d222eb9544f4b7382e32"/>
      <w:bookmarkEnd w:id="221"/>
      <w:r>
        <w:t>5.4.3 Riesgo de producto: el precipicio de la complejidad</w:t>
      </w:r>
    </w:p>
    <w:p w14:paraId="1F9CD0DE" w14:textId="77777777" w:rsidR="00085C05" w:rsidRDefault="00000000">
      <w:pPr>
        <w:pStyle w:val="FirstParagraph"/>
      </w:pPr>
      <w:r>
        <w:t xml:space="preserve">Todo sistema de reglas potente hereda el riesgo que condenó a Scrivener —hilos oficiales titulados “this software is inscrutable and damn near unusable”, con usuarios que dedican más tiempo a entender el formato que a escribir— y el riesgo es mayor en una UI que expone reglas declarativas a no programadores </w:t>
      </w:r>
      <w:r>
        <w:rPr>
          <w:vertAlign w:val="superscript"/>
        </w:rPr>
        <w:footnoteReference w:id="151"/>
      </w:r>
      <w:r>
        <w:t>. La mitigación se diseña como comportamiento del producto, no como documentación: presets narrados que ocultan la mecánica detrás de beneficios (“nunca más una tabla partida”), y la regla de oro del comportamiento premium —autocorregir lo seguro, avisar lo dudoso— aplicada tanto al motor como a los agentes de la Fase 3. El panel de salud debe resolver, no solo diagnosticar: cada violación común con fix propuesto de un clic convierte complejidad en servicio. La señal temprana se mide en tests de usabilidad con usuarios no técnicos: si la configuración de reglas aparece como punto de abandono, se simplifica la superficie antes de añadir ninguna regla nueva.</w:t>
      </w:r>
    </w:p>
    <w:p w14:paraId="5E05971C" w14:textId="77777777" w:rsidR="00085C05" w:rsidRDefault="00000000">
      <w:pPr>
        <w:pStyle w:val="Heading4"/>
      </w:pPr>
      <w:bookmarkStart w:id="224" w:name="Xae676dc894eac1189aa8db9030831653e4f05d9"/>
      <w:bookmarkEnd w:id="222"/>
      <w:r>
        <w:t>5.4.4 Riesgo de mercado: el rechazo ético a la IA</w:t>
      </w:r>
    </w:p>
    <w:p w14:paraId="1782EB6F" w14:textId="77777777" w:rsidR="00085C05" w:rsidRDefault="00000000">
      <w:pPr>
        <w:pStyle w:val="FirstParagraph"/>
      </w:pPr>
      <w:r>
        <w:t xml:space="preserve">El 48% de los autores declara que nunca usará IA y el 84% de los detractores la rechaza por motivos éticos, no de calidad; además, KDP obliga a declarar el contenido IA-generado con enforcement endurecido y sanciones a nivel de cuenta </w:t>
      </w:r>
      <w:r>
        <w:fldChar w:fldCharType="begin"/>
      </w:r>
      <w:r>
        <w:instrText>NOTEREF _Ref_Footnote_56 \h \f</w:instrText>
      </w:r>
      <w:r>
        <w:fldChar w:fldCharType="separate"/>
      </w:r>
      <w:r>
        <w:rPr>
          <w:vertAlign w:val="superscript"/>
        </w:rPr>
        <w:t>56</w:t>
      </w:r>
      <w:r>
        <w:fldChar w:fldCharType="end"/>
      </w:r>
      <w:r>
        <w:t xml:space="preserve"> </w:t>
      </w:r>
      <w:r>
        <w:fldChar w:fldCharType="begin"/>
      </w:r>
      <w:r>
        <w:instrText>NOTEREF _Ref_Footnote_116 \h \f</w:instrText>
      </w:r>
      <w:r>
        <w:fldChar w:fldCharType="separate"/>
      </w:r>
      <w:r>
        <w:rPr>
          <w:vertAlign w:val="superscript"/>
        </w:rPr>
        <w:t>116</w:t>
      </w:r>
      <w:r>
        <w:fldChar w:fldCharType="end"/>
      </w:r>
      <w:r>
        <w:t xml:space="preserve"> </w:t>
      </w:r>
      <w:r>
        <w:fldChar w:fldCharType="begin"/>
      </w:r>
      <w:r>
        <w:instrText>NOTEREF _Ref_Footnote_79 \h \f</w:instrText>
      </w:r>
      <w:r>
        <w:fldChar w:fldCharType="separate"/>
      </w:r>
      <w:r>
        <w:rPr>
          <w:vertAlign w:val="superscript"/>
        </w:rPr>
        <w:t>79</w:t>
      </w:r>
      <w:r>
        <w:fldChar w:fldCharType="end"/>
      </w:r>
      <w:r>
        <w:t xml:space="preserve">. Lanzar la Fase 3 como “IA que escribe” sería un error de posicionamiento con coste reputacional en la playa hispanohablante, pequeña y bien conectada. La mitigación es triple: la IA entra siempre como asistente editorial gobernado —salud del documento, coherencia, blurbs, metadatos— y nunca como generador del texto final; cada bloque generado por IA queda etiquetado con procedencia trazable y el disclosure de KDP se genera automáticamente, convirtiendo el cumplimiento en argumento de confianza; y la capa IA es opcional y visible, de modo que el 48% que la rechaza puede usar el 100% del resto del producto. El mismo riesgo contiene la oportunidad: en un mercado donde el 74% de los usuarios de IA no lo declara, ser la herramienta que declara por ti es un diferencial de confianza que ningún competidor ofrece </w:t>
      </w:r>
      <w:r>
        <w:fldChar w:fldCharType="begin"/>
      </w:r>
      <w:r>
        <w:instrText>NOTEREF _Ref_Footnote_113 \h \f</w:instrText>
      </w:r>
      <w:r>
        <w:fldChar w:fldCharType="separate"/>
      </w:r>
      <w:r>
        <w:rPr>
          <w:vertAlign w:val="superscript"/>
        </w:rPr>
        <w:t>113</w:t>
      </w:r>
      <w:r>
        <w:fldChar w:fldCharType="end"/>
      </w:r>
      <w:r>
        <w:t>.</w:t>
      </w:r>
    </w:p>
    <w:p w14:paraId="148EC822" w14:textId="77777777" w:rsidR="00085C05" w:rsidRDefault="00000000">
      <w:pPr>
        <w:pStyle w:val="Heading3"/>
      </w:pPr>
      <w:bookmarkStart w:id="225" w:name="X543f137d7988a4ed97d9b9654988861a589edb6"/>
      <w:bookmarkEnd w:id="219"/>
      <w:bookmarkEnd w:id="224"/>
      <w:r>
        <w:t>5.5 Decisión: las tres acciones de los próximos 30 días</w:t>
      </w:r>
    </w:p>
    <w:p w14:paraId="44A08CC7" w14:textId="77777777" w:rsidR="00085C05" w:rsidRDefault="00000000">
      <w:pPr>
        <w:pStyle w:val="FirstParagraph"/>
      </w:pPr>
      <w:r>
        <w:t xml:space="preserve">El plan completo se reduce, para el fundador como decisor único, a tres acciones iniciadas en el próximo mes. Primera, arrancar la Fase 0 con la demo como centro: construir el onboarding del “momento nunca-más”, desplegar la telemetría del presupuesto &lt;300 ms y reescribir la landing alrededor del vídeo de la recomposición en vivo, porque esa pieza es simultáneamente producto, marketing y filtro de clientes </w:t>
      </w:r>
      <w:r>
        <w:fldChar w:fldCharType="begin"/>
      </w:r>
      <w:r>
        <w:instrText>NOTEREF _Ref_Footnote_1 \h \f</w:instrText>
      </w:r>
      <w:r>
        <w:fldChar w:fldCharType="separate"/>
      </w:r>
      <w:r>
        <w:t>1</w:t>
      </w:r>
      <w:r>
        <w:fldChar w:fldCharType="end"/>
      </w:r>
      <w:r>
        <w:t xml:space="preserve">. Segunda, congelar el modelo freemium con Pro a $97/año y abrir una beta cerrada con 20-30 infoproductores hispanohablantes reclutados en el ecosistema Hotmart/Gumroad, con dos objetivos de aprendizaje: validar la conversión freemium y medir el tiempo real manuscrito→producto publicado que alimentará los primeros casos de éxito </w:t>
      </w:r>
      <w:r>
        <w:fldChar w:fldCharType="begin"/>
      </w:r>
      <w:r>
        <w:instrText>NOTEREF _Ref_Footnote_11 \h \f</w:instrText>
      </w:r>
      <w:r>
        <w:fldChar w:fldCharType="separate"/>
      </w:r>
      <w:r>
        <w:rPr>
          <w:vertAlign w:val="superscript"/>
        </w:rPr>
        <w:t>11</w:t>
      </w:r>
      <w:r>
        <w:fldChar w:fldCharType="end"/>
      </w:r>
      <w:r>
        <w:t xml:space="preserve"> </w:t>
      </w:r>
      <w:r>
        <w:fldChar w:fldCharType="begin"/>
      </w:r>
      <w:r>
        <w:instrText>NOTEREF _Ref_Footnote_9 \h \f</w:instrText>
      </w:r>
      <w:r>
        <w:fldChar w:fldCharType="separate"/>
      </w:r>
      <w:r>
        <w:t>9</w:t>
      </w:r>
      <w:r>
        <w:fldChar w:fldCharType="end"/>
      </w:r>
      <w:r>
        <w:t xml:space="preserve">. Tercera, iniciar el writer EPUB con EPUBCheck en CI desde la primera semana de desarrollo disponible tras Fase 0, porque la elegibilidad en el canal dominante es el único hito binario del plan y cada semana de retraso consume la ventana de doce meses </w:t>
      </w:r>
      <w:r>
        <w:fldChar w:fldCharType="begin"/>
      </w:r>
      <w:r>
        <w:instrText>NOTEREF _Ref_Footnote_12 \h \f</w:instrText>
      </w:r>
      <w:r>
        <w:fldChar w:fldCharType="separate"/>
      </w:r>
      <w:r>
        <w:rPr>
          <w:vertAlign w:val="superscript"/>
        </w:rPr>
        <w:t>12</w:t>
      </w:r>
      <w:r>
        <w:fldChar w:fldCharType="end"/>
      </w:r>
      <w:r>
        <w:t xml:space="preserve"> </w:t>
      </w:r>
      <w:r>
        <w:fldChar w:fldCharType="begin"/>
      </w:r>
      <w:r>
        <w:instrText>NOTEREF _Ref_Footnote_56 \h \f</w:instrText>
      </w:r>
      <w:r>
        <w:fldChar w:fldCharType="separate"/>
      </w:r>
      <w:r>
        <w:rPr>
          <w:vertAlign w:val="superscript"/>
        </w:rPr>
        <w:t>56</w:t>
      </w:r>
      <w:r>
        <w:fldChar w:fldCharType="end"/>
      </w:r>
      <w:r>
        <w:t>. Todo lo demás en este documento es consecuencia de esas tres decisiones ejecutadas en orden.</w:t>
      </w:r>
    </w:p>
    <w:p w14:paraId="5E45929F" w14:textId="77777777" w:rsidR="00085C05" w:rsidRDefault="00000000">
      <w:pPr>
        <w:pStyle w:val="Heading1"/>
      </w:pPr>
      <w:bookmarkStart w:id="226" w:name="referencias"/>
      <w:bookmarkEnd w:id="0"/>
      <w:bookmarkEnd w:id="207"/>
      <w:bookmarkEnd w:id="225"/>
      <w:r>
        <w:t>Referencias</w:t>
      </w:r>
    </w:p>
    <w:p w14:paraId="2E16BFEB" w14:textId="77777777" w:rsidR="00085C05" w:rsidRDefault="00000000">
      <w:pPr>
        <w:pStyle w:val="FirstParagraph"/>
      </w:pPr>
      <w:r>
        <w:t xml:space="preserve">[1] Repositorio Anclora Talent (dump de código y documentación sdd/, estado a 2026-08-03), analizado en anclora_file_analysis.md [2] Plan de mejora por fases para Anclora Talent (Perplexity, documento aportado por el usuario, 2026) [3] SelfPublishing.com — “Publishing By The Numbers 2026” (datos Bowker/Publishers Weekly) (12-06-2026). https://selfpublishing.com/publishing-by-the-numbers/ [4] BoSacks — “Four Million Books, and the Question Nobody Wants to Ask” (re: Jim Milliot, Publishers Weekly) (18-03-2026). https://www.bosacks.com/bosacks-speaks-out/bosacks-speaks-out-four-million-books-and-the-question-nobody-wants-to-ask [5] EPOS-AI — “Amazon KDP Formatting Mistakes That Get Your Book Rejected” (2026). https://epos-ai.ch/en/blog/amazon-kdp-formatting-mistakes.html [6] Publishing.co.uk — “Reedsy Formatting Cost: What Formatters Charge” (jul 2026). https://publishing.co.uk/guides/reedsy-formatting-cost/ [7] Reedsy — “How Much Does It Cost to Publish a Book in 2026?” y “Reedsy vs Fiverr” (2026). https://reedsy.com/blog/guide/how-to-self-publish-a-book/cost-to-self-publish/ · https://reedsy.com/blog/reedsy-vs-fiverr/ [8] Meticulous Research — “AI Workflow Automation Market (2026-2036)” (cita proyecciones Gartner 2026). https://www.meticulousresearch.com/product/ai-workflow-automation-market-6718 [9] Business Model Canvas Template — “How Does Hotmart Company Work?” (16-03-2026). https://businessmodelcanvastemplate.com/blogs/how-it-works/hotmart-how-it-works [10] Alosidiomas — “Curiosidades del español” (datos Instituto Cervantes, Anuario 2024) (06-05-2026). https://alosidiomas.com/curiosidades-espanol-secretos-idioma/ [11] Dataintelo — “Creative Writing Software Market Research Report 2034” (30-09-2025). https://dataintelo.com/report/creative-writing-software-market [12] Publishing.co.uk — “KDP error: EPUB doesn’t pass EPUBCheck validation” (may 2026). https://publishing.co.uk/guides/kdp-error-epub-validation-fail/ [13] BookBub Insights — “How Authors Are Thinking About AI (Survey of 1,200+ Authors)” (2025). https://insights.bookbub.com/how-authors-are-thinking-about-ai-survey/ [14] BestWriting — “43 Self Publishing Statistics for 2026” (13-07-2026). https://bestwriting.com/self-publishing-statistics [15] TheAISurf — “Best AI eBook Generator Tools — Compare Features, Pricing &amp; Use Cases” (2026-01-27). https://theaisurf.com/best-ai-ebook-generator-tools/ [16] Creativindie — Atticus Review 2026 (ratings agregados, bugs, Reddit r/selfpublish, micro-tipografía vs Vellum). https://www.creativindie.com/atticus-book-formatting-tool-better-than-scrivener-vellum/ (2026-06-30) [17] Jeremy Shapiro — Vellum vs. Atticus for Non-Fiction Interior Book Design (bugs TOC de Atticus, actualizado oct 2025). https://www.jeremyshapiro.com/2025/06/vellum-vs-atticus-for-non-fiction-interior-book-design/ (2025-10-29) [18] GetLinkShop — “Gumroad Review: Fees, Features &amp; Alternatives (2025)”. https://getlinkshop.com/blog/gumroad-review [19] BTS (BehindTheScenes) — “Future of Online Courses 2026” (28-01-2026). https://behindthescenes.com/blogs/future-of-online-courses-2026-trends-stats-what-s-next [20] Reedsy — Atticus Review: Is It Worth The Money? (3.25/5, editor plano, colaboración débil). https://reedsy.com/studio/resources/atticus-review/ (2025-08-19) [21] Built&amp;Written — What Is Atticus 2026 (sin IA; PWA; $147). https://www.builtwritten.com/blog/what-is-atticus-2026 (2026-06-03) [22] Built&amp;Written — Atticus vs Vellum for Coaches 2026 (“Atticus has no AI features”). https://www.builtwritten.com/blog/atticus-vs-vellum-2026 (2026-07-11) [23] Vellum — web oficial (Press $249.99 / Ebooks $199.99, solo Mac). https://vellum.pub/ (consultado 2026) [24] Reedsy — Vellum Review (3/5, precios, upgrade $99.99). https://reedsy.com/blog/guide/book-writing-software/vellum-software/ (2026-06-02) [25] Built&amp;Written — Vellum Software 2026 (Vellum 4.0 nov 2025, 4.1 mar 2026, Lucida Grande/KDP, sin footnotes inline). https://www.builtwritten.com/blog/vellum-software-2026 (2026-05-31) [26] Storyloft — Storyloft vs Vellum 2025 (“Vellum doesn’t have AI”; $249.99). https://storyloft.app/storyloft-vs-vellum/ (2026-05-06) [27] ScribeCount — Atticus vs Vellum vs Lacuna vs Kindle Create (jun 2026: limitaciones de cada uno, precios, outputs). https://scribecount.com/author-resource/writing-tools-for-authors/atticus-vs-vellum-vs-lacuna-vs-kindle-create (2026-06-17) [28] Creatorbread — “Top Takeaways from ConvertKit 2022 State of the Creator Economy Report” (s/f). https://www.creatorbread.com/blog/top-takeaways-from-convertkit-2022-state-of-the-creator-economy-report [29] Kindlepreneur — Vellum Review: Why I Used to Recommend It (But No Longer Do). https://kindlepreneur.com/vellum-software-review/ (2026-04-08) [30] TryOrBye — Scrivener Problems &amp; Issues 2025 (compile “minor nightmare”, curva “precipicio”, sync, imágenes, arrepentimientos). https://www.tryorbye.com/products/scrivener (consultado 2026) [31] Reedsy — Studio vs. Atticus vs. Scrivener (colaboración 5/2/1; Atticus exige cuenta de pago). https://reedsy.com/studio/resources/reedsy-studio-vs-atticus-vs-scrivener/ (2025-09-10) [32] Kindlepreneur — “Atticus vs. Vellum” (2026-06-12; incluye nota sobre fin de MOBI el 18-03-2025). https://kindlepreneur.com/atticus-vs-vellum/ [33] Kindlepreneur — “Atticus Review” (05-07-2026). https://kindlepreneur.com/atticus-review/ [34] Atticus — web oficial (precio $147, garantía 30 días, multiplataforma). https://www.atticus.io/ (consultado; página datada 2026-06-19) [35] GitHub (jzlh237) — Scrivener Review/Pricing 2026 ($59.99, $50.99 educativa, bundle $95.98, iOS $23.99, trial 30 días de uso). https://github.com/jzlh237/literatureandlatte (2026-03-29) [36] Reedsy Studio — web oficial (core gratis; Essential $4.99/mes; Outlining $7.99/mes; trial 30 días). https://reedsy.com/studio/ (2026-06-18) [37] Vellum Blog — Vellum 4.0: Heading Your Way (subheads 4 niveles, Heading Preset Settings, TOC levels). https://blog.vellum.pub/2025/11/vellum-4-0-heading-your-way/ (2025-11-18) [38] The Write Practice — Reedsy Studio Review (formato: 3 plantillas, 4 trim sizes, “limiting”). https://thewritepractice.com/reedsy-studio-review/ (2026-05-07) [39] ShortsIntel — “Creator Economy Statistics 2026” (fuentes: Goldman Sachs 2023, GVR 2025, IAB 2025) (23-04-2026). https://www.shortsintel.com/statistics/creator-economy [40] Textbrush — “The Era of AI Agents in 2026: A Complete Revolution in the Writing Workflow” (2026-05-20). https://www.textbrush.app/learn/2026-ai-en [41] Verified Market Reports — “Online Self-Publishing Services Market 2025-2032” (01-08-2026). https://www.verifiedmarketreports.com/product/online-self-publishing-services-market/ [42] PortoTheme — “The 6 Best eBook Creators With Generative AI Templates for 2026” (2026-07-15). https://www.portotheme.com/the-6-best-ebook-creators-with-thousands-of-generative-ai-templates-for-2026/ [43] Kajabi — “Upcoming Changes to your Kajabi plan | Q4 2025” (2026-07-07). https://www.kajabi.com/updates/2025-pricing-updates [44] Skywork — “Ebookmaker Review (2025): Can AI Really Write Your Next Bestseller?” (2026-02-03). https://skywork.ai/skypage/en/Ebookmaker-Review-(2025)-Can-AI-Really-Write-Your-Next-Bestseller/1976187734828576768 [45] Built&amp;Written — Vellum 2026 Review (precios, FORMAT framework, “no custom branded PDF”, sin IA). https://www.builtwritten.com/blog/vellum-2026 (2026-05-14) [46] WriteABookAI — Scrivener vs Atticus in 2026 (precios, pila $207+). https://writeabookai.com/blog/scrivener-vs-atticus-book-writing-formatting-2026 (2026-02-27) [47] Reedsy — Best Book Writing Software 2026 (Studio 4.5/5, Scrivener 4/5, Atticus 2.5/5). https://reedsy.com/blog/guide/book-writing-software/ (2026-06-02) [48] Skywork — “Designrr Unlocked (2025): Deep Dive into the AI Ebook Creator” (2025-10-05). https://skywork.ai/skypage/en/Designrr-Unlocked-(2025)-My-Deep-Dive-into-the-AI-Ebook-Creator-Revolutionizing-Content-Strategy/1972862475870203904 [49] FlipHTML5 — “Designrr Review: Is Designrr AI the Right Tool for Ebook Creation in 2025?” (2025-07-21). https://fliphtml5.com/learning-center/designrr-review-is-designrr-ai-the-right-tool-for-ebook-creation-in-2025/ [50] Atticus — Collaboration Roles (Owner/Co-writer/Editor/Beta Reader). https://www.atticus.io/collaboration-roles/ (2024-12-03) [51] FitGap — “Designrr reviews 2025” (2025). https://us.fitgap.com/products/designrr [52] Inkfluence AI — “Best AI Ebook Generators in 2026: 7 Tools Compared” (2026-02-09). https://www.inkfluenceai.com/blog/best-ai-ebook-generators-2026 [53] Gitnux — “AI In The Book Publishing Industry Statistics 2026” (2026-07-03). https://gitnux.org/ai-in-the-book-publishing-industry-statistics/ [54] Univers Studio — “Amazon KDP AI Generated Content Policy 2025-2026” (2026-04-16). https://univers.studio/blog/kdp-ai-content-policy-2026/ [55] KDPBuilder — “KDP AI Disclosure Rules in 2026” (2026-06-28). https://kdpbuilder.com/blog/kdp-ai-disclosure-rules [56] Inkfluence AI — “Best Squibler Alternative (2026)” (2026-05-15). https://www.inkfluenceai.com/squibler-alternative [57] QWE.edu.pl — “AI Lead Magnet Tools: Stop Asking ChatGPT to Write Your Ebook” (2026-02-21). https://www.qwe.edu.pl/tutorial/ai-tools-creating-lead-magnets-ebooks/ [58] Inkfluence AI — “Inkfluence AI vs Canva: Ebook Creation (2025-2026)” (2025-11-22). https://www.inkfluenceai.com/blog/inkfluence-ai-vs-canva-ebook-creation-2025 [59] Inkfluence AI — “Sudowrite Review 2026: Pricing, Features, Pros &amp; Cons” (2026-03-20). https://www.inkfluenceai.com/blog/sudowrite-review-pricing-2026 [60] Kindlepreneur — “Novelcrafter Review: Is It the Most Powerful AI Tool for Writers?” (2025-12-23). https://kindlepreneur.com/novelcrafter-review/ [61] Skywork (ES) — “Youbooks AI: Análisis Completo del Generador de Libros por IA (2025)” (2025-08-06). https://skywork.ai/skypage/es/youbooks-ai-book-generator-analysis/1993488933216206848 [62] Jasper — “How to Scale Marketing Ebook Creation with Jasper” (web oficial, consultada 2026). https://www.jasper.ai/workflows/ebook-creator [63] Kindlepreneur — Atticus Review (tabla comparativa Vellum, $147, 1.500+ fuentes, footnotes). https://kindlepreneur.com/atticus-review/ (2026-07-05) [64] Nzangimuimi — “ConvertKit’s State of the Creator Economy Report 2024” (01-10-2025). https://nzangimuimi.com/blog/convertkit-2024-state-of-the-creator-economy-report/ [65] CheckThat.ai — “Novelcrafter Pricing 2026: Plans, Costs &amp; AI Fees” (2026-05-19). https://checkthat.ai/brands/novelcrafter/pricing [66] Literature &amp; Latte Forum — Scrivener for iOS topics (sync errors, conflictos, nov 2025-ene 2026). https://forum.literatureandlatte.com/c/scrivener/scrivener-for-ios/14 (2026-04-04) [67] WriteABookAI — Reedsy vs LivingWriter 2026 (Reedsy sin IA “por principio”, formato limitado). https://writeabookai.com/blog/reedsy-vs-livingwriter-book-writing-software-2026 (2026-03-24) [68] KDPEasy — “The Complete Guide to AI-Generated Book Covers in 2025” (2025-01-15). https://www.kdpeasy.com/guides/ai-book-covers [69] GetProfitClear — “Gumroad Fees: Complete 2025 Pricing Guide for Digital Creators” (2025-10-09). https://getprofitclear.com/blog/gumroad-fees-complete-guide [70] Metablogue — “Designrr Review – Easily Create EBooks, Flipbooks And Lead Magnets” (consultado 2026; actualizado). https://metablogue.com/designrr-ebook-creator-review/ [71] SaaSTurf — “Paddle vs Lemon Squeezy: Merchant of Record for Global SaaS, Explained” (2026-07-17). https://www.saasturf.com/blog/paddle-vs-lemon-squeezy/ [72] Todapay — “Lemon Squeezy vs Stripe: Two Models, One Decision” (2026-07-06). https://todapay.com/blog/lemon-squeezy-vs-stripe-two-models-one-decision/ [73] Payhip — “How to Sell on Payhip in 2025” (2025-10-17). https://payhip.com/Bookfunsionstudio/blog/payhip/payhip-how-to-sell [74] Sellfy — “Pricing: Plans From $29/mo, 0% Transaction Fees” (s/f). https://sellfy.com/pricing/ [75] Learning Revolution — “New Podia Pricing (2026)” (2026-06-14). https://www.learningrevolution.net/podia-pricing/ [76] Ruzuku — “Teachable Pricing 2026: Plans, Fees &amp; Hidden Costs” (2026-04-06). https://www.ruzuku.com/compare/teachable-pricing [77] Kajabi Help — “Creator Studio” (2026-07-21). https://help.kajabi.com/articles/marketing/creator-studio/creator-studio [78] AI eBook Suite — “How to Sell AI-Generated eBooks on Amazon KDP — Complete 2025 Guide”. https://aiebooksuite.com/en/kdp-guide [79] Univers Studio — “Amazon KDP AI Generated Content Policy 2025-2026” (2026-04-16). https://univers.studio/blog/kdp-ai-content-policy-2026/ [80] ScribeCount — “Draft2Digital: The Complete Guide for Wide Authors” (2026-06-24). https://scribecount.com/author-resource/publishing-wide/draft2digital-for-indie-authors [81] Publiwrite — “Royalties in 2025: Which Platforms Pay Authors Best” (2025-09-23). https://blog.publiwrite.com/royalties-in-2025-which-platforms-pay-authors-best-and-why-transparency-matters/ [82] Storyloft — “Best Self-Publishing Software Compared (2026)” (2026-04-28). https://storyloft.app/best-self-publishing-software/ [83] Kickass Writer’s Guide — “10 Best Writing Tools for Self-Publishing Authors 2025” (2025-10-20). https://kickasswritersguide.com/best-writing-tools/ [84] Digital Riders — “Herramientas para lanzar un infoproducto exitoso en 2025” (2026-06-17). https://digitalriders.com/herramientas-lanzar-infoproducto-2025/ [85] GroupApp — “How to create digital downloads to sell” (2026-01-14). https://www.group.app/blog/how-to-create-digital-downloads-to-sell/ [86] ManuscriptReport — “Indie Author Income Statistics” (ALLi 2025, Written Word Media 2023-2025, Bowker) (04-06-2026). https://manuscriptreport.com/data/indie-author-income-statistics [87] Verified Market Research — “Self-Publishing Service Market Report (2025-2033)” (15-07-2026). https://www.verifiedmarketresearch.com/product/selfpublishing-service-market/ [88] AMT — “The Creator Economy in 2026: Market Size” (SNS Insider, Goldman Sachs) (13-07-2026). https://amt.ai/blog/creator-economy-market [89] Grand View Research — “Creator Economy Market Report, 2033” (2026-06-09). https://www.grandviewresearch.com/industry-analysis/creator-economy-market-report [90] AWISEE — “20+ Creator Economy Statistics for 2025” (2025-12-26). https://awisee.com/blog/creator-economy-statistics/ [91] Grand View Research — “Creator Economy Market Report 2033” (09-06-2026). https://www.grandviewresearch.com/industry-analysis/creator-economy-market-report [92] Presenc AI — “Creator Economy Market Size (2026)” (27-05-2026). https://presenc.ai/research/creator-economy-market-size-2026 [93] Kindlepreneur — “Sudowrite Review: The Good, the Bad, and the Weird Parts” (2026-06-13). https://kindlepreneur.com/sudowrite-review/ [94] CreativIndie — “Atticus vs Vellum vs Scrivener: 2026 Comparison” (30-06-2026). https://www.creativindie.com/atticus-book-formatting-tool-better-than-scrivener-vellum/ [95] Kajabi Help — “What is Kajabi” (2026-05-21). https://help.kajabi.com/articles/resources/resources/what-is-kajabi [96] Word-2-Kindle — “Amazon Book Formatting Service — Kindle + KDP Print” (2026). https://word-2-kindle.com/amazon-book-formatting/ [97] KDPFormatter — “To Hire or Not to Hire: The Real Cost of Book Formatting” (nov 2023). https://kdpformatter.com/blog/diy-formatting-vs-professional/ [98] Valentina Truneanu — “Cómo crear un índice en Word para un eBook” (entrada con 81 comentarios de autores). https://www.valentinatruneanu.com/crear-un-indice-en-word/ [99] Jeremy Shapiro — “Vellum vs. Atticus for Non-Fiction Interior Book Design” (jun 2025, act. oct 2025). https://www.jeremyshapiro.com/2025/06/vellum-vs-atticus-for-non-fiction-interior-book-design/ [100] Author Media (Thomas Umstattd / Bryan) — “How to Format a Book With Vellum” (jun 2026). https://www.authormedia.com/how-to-format-a-book-with-vellum/ [101] Sitejabber — Designrr Reviews, 1.8★ (reviews 2020–2024). https://www.sitejabber.com/reviews/designrr.io (espejo: https://www.smartcustomer.com/reviews/designrr.io) [102] Reedsy Studio — “Atticus Review: Is It Worth The Money?” (ago 2025). https://reedsy.com/studio/resources/atticus-review/ [103] Built&amp;Written — “Vellum 2026 Review” / “Vellum Software for Coaches in 2026” (2026). https://www.builtwritten.com/blog/vellum-2026 · https://www.builtwritten.com/blog/vellum-software-2026 [104] HMD Publishing — “EPUB Validator for US Authors” (ene 2026). https://hmdpublishing.com/education/tools/epub-validator/us [105] GitHub jgm/pandoc issue #9469 — “ePub v2 fails validation with ePubCheck in pandoc 3.1.12” (feb 2024). https://github.com/jgm/pandoc/issues/9469 [106] Literature &amp; Latte Forums — “Compile as epub error” (may 2024). https://forum.literatureandlatte.com/t/compile-as-epub-error/140668 [107] Creativindie — “Is Vellum Worth it? (best book formatting software for PC or Mac)” (2026). https://www.creativindie.com/is-vellum-worth-it-review-best-book-formatting-software-for-pc-or-mac/ [108] KBoards — “MacinCloud and Vellum Question” (abr 2017). https://www.kboards.com/threads/macincloud-and-vellum-question.250200/ [109] Vellum Help — “Using Vellum on Windows” (oficial). https://help.vellum.pub/guides/using-on-windows/ [110] Audrey Driscoll’s Blog — posts sobre correcciones post-publicación en KDP (2023–2026). https://audreydriscoll.com/tag/amazon-kdp/ [111] KDP Community — “How long for book updates (corrected typos, etc.) to appear…” (ago 2023). https://www.kdpcommunity.com/s/question/0D58V00007tilU6SAI/ [112] Kindlepreneur — “Atticus Review” (incluye roadmap: version history, plotting) (2026). https://kindlepreneur.com/atticus-review/ [113] ManuscriptReport — “AI in Publishing: 2026 Statistics &amp; Primary Sources” (BookBub may-2025 n=1.229; Authors Guild dic-2023; BookNet×BISG abr-2026; NBER w34777) (21-05-2026). https://manuscriptreport.com/data/ai-publishing-statistics [114] Publishers Weekly — “New Report Examines Writers’ Attitudes toward AI” (Gotham Ghostwriters/Bernoff, nov 2025). https://www.publishersweekly.com/pw/by-topic/digital/copyright/article/99019-new-report-examines-writers-attitudes-toward-ai.html [115] Authors A.I. — “How Authors Are Really Using AI” (BookBub may-2025) (26-09-2025). https://authors.ai/how-authors-are-really-using-ai/ [116] AIPolicyDesk — “Amazon KDP AI Disclosure: Policy &amp; Decision Flowchart (2026)” (11-07-2026). https://www.aipolicydesk.com/blog/amazon-kdp-ai-disclosure-compliance-guide-2026 [117] Inkrify — “Amazon KDP AI Content Policy 2026: Disclosure Checklist” (10-07-2026). https://inkrify.com/blog/staying-compliant-with-amazon-kdp-ai-content-policy-in-2026/ [118] La Paseata — cita de “El español en el mundo 2024. Anuario del Instituto Cervantes” (02-11-2025). https://lapaseata.net/2025/11/02/entrevista-a-don-miguel-de-cervantes/ [119] Valor de Cambio / Bookwire — “Evolución del negocio del libro digital y el audiolibro en español en 2024” (07-06-2025). https://valordecambio.com/informe-bookwire-evolucion-del-negocio-del-libro-digital-y-el-audiolibro-en-espanol-en-2024/ [120] Editores Madrid / FGEE — “El sector editorial recupera los 3.000 millones de facturación” (Comercio Interior del Libro 2024) (02-12-2025). https://editoresmadrid.org/el-sector-editorial-recupera-los-3-000-millones-de-facturacion-previos-a-la-crisis-de-2008/ [121] BestWriting — “50 Ebook Statistics for 2026” (07-06-2026). https://bestwriting.com/ebook-statistics [122] Canvas Business Model — “Hotmart BCG Matrix Analysis” (15-07-2025). https://canvasbusinessmodel.com/products/hotmart-bcg-matrix [123] ReglaDeTres — “Cómo publicar en Amazon KDP sin errores: diseño, maquetación y portada” (abr 2026). https://regladetres.es/errores-autopublicar-amazon-kdp/ [124] About Amazon España — “Lectura y escritura: una parte esencial de Amazon” (26-02-2024). https://www.aboutamazon.es/noticias/libros-y-autores/lectura-y-escritura-una-parte-esencial-de-amazon [125] </w:t>
      </w:r>
      <w:r>
        <w:rPr>
          <w:i/>
          <w:iCs/>
        </w:rPr>
        <w:t>Learning Typst — References and cross-references</w:t>
      </w:r>
      <w:r>
        <w:t xml:space="preserve"> (GitHub, lars-derichter/learning-typst-book). https://github.com/lars-derichter/learning-typst-book/blob/main/book/11-references-and-cross-references.md (consultado jul 2026) [126] AllAboutAI — “Best AI Writing Tools for EBooks” (agrega citas de r/KDP y r/selfpublishing, oct 2025). https://www.allaboutai.com/best-ai-tools/writing/e-books/ [127] Typst Docs — </w:t>
      </w:r>
      <w:r>
        <w:rPr>
          <w:i/>
          <w:iCs/>
        </w:rPr>
        <w:t>Accessibility Guide</w:t>
      </w:r>
      <w:r>
        <w:t xml:space="preserve"> (PDF/UA-1, EAA, ADA). https://typst.app/docs/guides/accessibility/ (consultado jul 2026) [128] Typst GitHub — Issue #2393 </w:t>
      </w:r>
      <w:r>
        <w:rPr>
          <w:i/>
          <w:iCs/>
        </w:rPr>
        <w:t>Performance – Investigation &amp; Tracking</w:t>
      </w:r>
      <w:r>
        <w:t xml:space="preserve">. https://github.com/typst/typst/issues/2393 (consultado jul 2026) [129] LitReactor — “The 9 Best Writing Tools for 2026” (ene 2026). https://litreactor.com/columns/the-9-best-writing-tools-for-2026/ [130] Pandoc — README (arquitectura readers/AST/writers, pérdidas). https://github.com/jgm/pandoc/blob/main/README.md (consultado jul 2026) [131] SFU Summit (tesis) — workflow editorial y accesibilidad, conversión PDF→EPUB y language tagging post-typesetting (2026). https://summit.sfu.ca/_flysystem/fedora/2026-02/etd24149.pdf [132] Markua Spec / Manual. https://markua.com/ y http://leanpub.com/markua/read (consultado jul 2026) [133] Doppio — </w:t>
      </w:r>
      <w:r>
        <w:rPr>
          <w:i/>
          <w:iCs/>
        </w:rPr>
        <w:t>CSS Paged Media vs Paged.js</w:t>
      </w:r>
      <w:r>
        <w:t xml:space="preserve"> (soporte nativo Chrome 131+ vs gaps). https://doppio.sh/guide/css-paged-media-vs-pagedjs (consultado jul 2026) [134] Paged.js GitHub — Issue #269 (error con Tailwind 4, v0.4.3, feb 2025). https://github.com/pagedjs/pagedjs/issues/269 (consultado jul 2026) [135] NLnet (2025) — proyecto Vivliostyle (Core, CLI, Pub; grant). https://nlnet.nl/project/Vivliostyle/ y https://nlnet.nl/news/2025/20250624-announcement-grants-CommonsFund.html (consultado jul 2026) [136] pdf4.dev (2026) — </w:t>
      </w:r>
      <w:r>
        <w:rPr>
          <w:i/>
          <w:iCs/>
        </w:rPr>
        <w:t>Playwright vs WeasyPrint</w:t>
      </w:r>
      <w:r>
        <w:t xml:space="preserve"> (arquitectura, paged media sin JS). https://pdf4.dev/blog/playwright-vs-weasyprint (consultado jul 2026) [137] htdocs.dev (feb 2026) — </w:t>
      </w:r>
      <w:r>
        <w:rPr>
          <w:i/>
          <w:iCs/>
        </w:rPr>
        <w:t>The Modern Python Data Stack in 2026</w:t>
      </w:r>
      <w:r>
        <w:t xml:space="preserve"> (Quarto: formatos, brand.yml, freeze). https://htdocs.dev/posts/the-modern-python-data-stack-in-2026/ (consultado jul 2026) [138] Docusaurus Docs — </w:t>
      </w:r>
      <w:r>
        <w:rPr>
          <w:i/>
          <w:iCs/>
        </w:rPr>
        <w:t>Versioning</w:t>
      </w:r>
      <w:r>
        <w:t xml:space="preserve">. https://docusaurus.io/docs/versioning (consultado jul 2026) [139] Infrasity (nov 2025) — </w:t>
      </w:r>
      <w:r>
        <w:rPr>
          <w:i/>
          <w:iCs/>
        </w:rPr>
        <w:t>Mintlify vs GitBook</w:t>
      </w:r>
      <w:r>
        <w:t xml:space="preserve"> (versionado manual, build opaco). https://www.infrasity.com/blog/mintlify-vs-gitbook (consultado jul 2026) [140] Teachable — “How to Create and Sell Digital Downloads” (s/f). https://www.teachable.com/digital-downloads [141] Kindlepreneur — “Vellum Review: Why I Used to Recommend It (But No Longer Do)” (abr 2026). https://kindlepreneur.com/vellum-software-review/ [142] PaperTrue — “10 Best Self-Publishing Companies of 2025” (2025-08-01). https://www.papertrue.com/blog/top-self-publishing-companies/ [143] Mariana Eguaras — “Guía para señalar correcciones en PDF sin errores ni confusiones” (oct 2025). https://marianaeguaras.com/guia-para-senalar-correcciones-en-pdf-sin-errores-ni-confusiones/ [144] Typst — Pricing (Free / Pro 7,99 $ / On-Premises; 3.500 universidades, 1.000 empresas). https://typst.app/pricing/ (consultado jul 2026) [145] saastechnews.com (2026) — GitBook pricing Premium 65 $/sitio + 12 $/usuario. https://www.saastechnews.com/roundups/best-knowledge-base-software-for-internal-teams (consultado jul 2026) [146] Typst — README (principios: consistency, composability, incrementality). https://github.com/typst/typst/blob/main/README.md (consultado jul 2026) [147] QWE.edu.pl — “How to Create Audiobooks with AI Voice [2026 Tested]” (2026-03-26). https://www.qwe.edu.pl/tutorial/how-to-create-audiobooks-with-ai-voice/ [148] Whop — “100+ Ebook statistics for 2026” (18-06-2025). https://whop.com/blog/ebook-statistics/ [149] EbookPbook — “Vellum Alternatives for PC” (29-05-2026). https://www.ebookpbook.com/2026/04/08/vellum-alternatives-book-formatting-pc/ [150] Books.by — “How Much Does It Cost to Self-Publish a Book?” (15-01-2026). https://books.by/guides/self-publishing-costs [151] Literature &amp; Latte Forums — “This software is inscrutable and damn near unusable” (mar 2024). https://forum.literatureandlatte.com/t/this-software-is-inscrutable-and-damn-near-unusable/139718</w:t>
      </w:r>
      <w:bookmarkEnd w:id="226"/>
    </w:p>
    <w:sectPr w:rsidR="00085C05">
      <w:headerReference w:type="even" r:id="rId9"/>
      <w:headerReference w:type="default" r:id="rId10"/>
      <w:headerReference w:type="first" r:id="rId1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A195" w14:textId="77777777" w:rsidR="0089233B" w:rsidRDefault="0089233B">
      <w:pPr>
        <w:spacing w:after="0"/>
      </w:pPr>
      <w:r>
        <w:separator/>
      </w:r>
    </w:p>
  </w:endnote>
  <w:endnote w:type="continuationSeparator" w:id="0">
    <w:p w14:paraId="195D606D" w14:textId="77777777" w:rsidR="0089233B" w:rsidRDefault="008923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65599" w14:textId="77777777" w:rsidR="0089233B" w:rsidRDefault="0089233B">
      <w:r>
        <w:separator/>
      </w:r>
    </w:p>
  </w:footnote>
  <w:footnote w:type="continuationSeparator" w:id="0">
    <w:p w14:paraId="102A345D" w14:textId="77777777" w:rsidR="0089233B" w:rsidRDefault="0089233B">
      <w:r>
        <w:continuationSeparator/>
      </w:r>
    </w:p>
  </w:footnote>
  <w:footnote w:id="1">
    <w:p w14:paraId="504AD873" w14:textId="77777777" w:rsidR="00085C05" w:rsidRDefault="00000000">
      <w:pPr>
        <w:pStyle w:val="FootnoteText"/>
      </w:pPr>
      <w:bookmarkStart w:id="2" w:name="_Ref_Footnote_1"/>
      <w:r>
        <w:rPr>
          <w:rStyle w:val="FootnoteReference"/>
        </w:rPr>
        <w:footnoteRef/>
      </w:r>
      <w:r>
        <w:t xml:space="preserve"> Repositorio Anclora Talent (dump de código y documentación sdd/, estado a 2026-08-03), analizado en anclora_file_analysis.md</w:t>
      </w:r>
      <w:bookmarkEnd w:id="2"/>
    </w:p>
  </w:footnote>
  <w:footnote w:id="2">
    <w:p w14:paraId="625EA1D8" w14:textId="77777777" w:rsidR="00085C05" w:rsidRDefault="00000000">
      <w:pPr>
        <w:pStyle w:val="FootnoteText"/>
      </w:pPr>
      <w:bookmarkStart w:id="3" w:name="_Ref_Footnote_2"/>
      <w:r>
        <w:rPr>
          <w:rStyle w:val="FootnoteReference"/>
        </w:rPr>
        <w:footnoteRef/>
      </w:r>
      <w:r>
        <w:t xml:space="preserve"> Plan de mejora por fases para Anclora Talent (Perplexity, documento aportado por el usuario, 2026)</w:t>
      </w:r>
      <w:bookmarkEnd w:id="3"/>
    </w:p>
  </w:footnote>
  <w:footnote w:id="3">
    <w:p w14:paraId="6373D527" w14:textId="77777777" w:rsidR="00085C05" w:rsidRDefault="00000000">
      <w:pPr>
        <w:pStyle w:val="FootnoteText"/>
      </w:pPr>
      <w:bookmarkStart w:id="4" w:name="_Ref_Footnote_3"/>
      <w:r>
        <w:rPr>
          <w:rStyle w:val="FootnoteReference"/>
        </w:rPr>
        <w:footnoteRef/>
      </w:r>
      <w:r>
        <w:t xml:space="preserve"> SelfPublishing.com — "Publishing By The Numbers 2026" (datos Bowker/Publishers Weekly) (12-06-2026). https://selfpublishing.com/publishing-by-the-numbers/</w:t>
      </w:r>
      <w:bookmarkEnd w:id="4"/>
    </w:p>
  </w:footnote>
  <w:footnote w:id="4">
    <w:p w14:paraId="6DC51268" w14:textId="77777777" w:rsidR="00085C05" w:rsidRDefault="00000000">
      <w:pPr>
        <w:pStyle w:val="FootnoteText"/>
      </w:pPr>
      <w:bookmarkStart w:id="5" w:name="_Ref_Footnote_4"/>
      <w:r>
        <w:rPr>
          <w:rStyle w:val="FootnoteReference"/>
        </w:rPr>
        <w:footnoteRef/>
      </w:r>
      <w:r>
        <w:t xml:space="preserve"> BoSacks — "Four Million Books, and the Question Nobody Wants to Ask" (re: Jim Milliot, Publishers Weekly) (18-03-2026). https://www.bosacks.com/bosacks-speaks-out/bosacks-speaks-out-four-million-books-and-the-question-nobody-wants-to-ask</w:t>
      </w:r>
      <w:bookmarkEnd w:id="5"/>
    </w:p>
  </w:footnote>
  <w:footnote w:id="5">
    <w:p w14:paraId="3C60066F" w14:textId="77777777" w:rsidR="00085C05" w:rsidRDefault="00000000">
      <w:pPr>
        <w:pStyle w:val="FootnoteText"/>
      </w:pPr>
      <w:bookmarkStart w:id="6" w:name="_Ref_Footnote_5"/>
      <w:r>
        <w:rPr>
          <w:rStyle w:val="FootnoteReference"/>
        </w:rPr>
        <w:footnoteRef/>
      </w:r>
      <w:r>
        <w:t xml:space="preserve"> EPOS-AI — "Amazon KDP Formatting Mistakes That Get Your Book Rejected" (2026). https://epos-ai.ch/en/blog/amazon-kdp-formatting-mistakes.html</w:t>
      </w:r>
      <w:bookmarkEnd w:id="6"/>
    </w:p>
  </w:footnote>
  <w:footnote w:id="6">
    <w:p w14:paraId="4AE3A478" w14:textId="77777777" w:rsidR="00085C05" w:rsidRDefault="00000000">
      <w:pPr>
        <w:pStyle w:val="FootnoteText"/>
      </w:pPr>
      <w:bookmarkStart w:id="7" w:name="_Ref_Footnote_6"/>
      <w:r>
        <w:rPr>
          <w:rStyle w:val="FootnoteReference"/>
        </w:rPr>
        <w:footnoteRef/>
      </w:r>
      <w:r>
        <w:t xml:space="preserve"> Publishing.co.uk — "Reedsy Formatting Cost: What Formatters Charge" (jul 2026). https://publishing.co.uk/guides/reedsy-formatting-cost/</w:t>
      </w:r>
      <w:bookmarkEnd w:id="7"/>
    </w:p>
  </w:footnote>
  <w:footnote w:id="7">
    <w:p w14:paraId="1A2968C3" w14:textId="77777777" w:rsidR="00085C05" w:rsidRDefault="00000000">
      <w:pPr>
        <w:pStyle w:val="FootnoteText"/>
      </w:pPr>
      <w:bookmarkStart w:id="8" w:name="_Ref_Footnote_7"/>
      <w:r>
        <w:rPr>
          <w:rStyle w:val="FootnoteReference"/>
        </w:rPr>
        <w:footnoteRef/>
      </w:r>
      <w:r>
        <w:t xml:space="preserve"> Reedsy — "How Much Does It Cost to Publish a Book in 2026?" y "Reedsy vs Fiverr" (2026). ·. https://reedsy.com/blog/guide/how-to-self-publish-a-book/cost-to-self-publish/</w:t>
      </w:r>
      <w:bookmarkEnd w:id="8"/>
    </w:p>
  </w:footnote>
  <w:footnote w:id="8">
    <w:p w14:paraId="41A4BA29" w14:textId="77777777" w:rsidR="00085C05" w:rsidRDefault="00000000">
      <w:pPr>
        <w:pStyle w:val="FootnoteText"/>
      </w:pPr>
      <w:bookmarkStart w:id="9" w:name="_Ref_Footnote_8"/>
      <w:r>
        <w:rPr>
          <w:rStyle w:val="FootnoteReference"/>
        </w:rPr>
        <w:footnoteRef/>
      </w:r>
      <w:r>
        <w:t xml:space="preserve"> Meticulous Research — "AI Workflow Automation Market (2026-2036)" (cita proyecciones Gartner 2026). https://www.meticulousresearch.com/product/ai-workflow-automation-market-6718</w:t>
      </w:r>
      <w:bookmarkEnd w:id="9"/>
    </w:p>
  </w:footnote>
  <w:footnote w:id="9">
    <w:p w14:paraId="67868F02" w14:textId="77777777" w:rsidR="00085C05" w:rsidRDefault="00000000">
      <w:pPr>
        <w:pStyle w:val="FootnoteText"/>
      </w:pPr>
      <w:bookmarkStart w:id="10" w:name="_Ref_Footnote_9"/>
      <w:r>
        <w:rPr>
          <w:rStyle w:val="FootnoteReference"/>
        </w:rPr>
        <w:footnoteRef/>
      </w:r>
      <w:r>
        <w:t xml:space="preserve"> Business Model Canvas Template — "How Does Hotmart Company Work?" (16-03-2026). https://businessmodelcanvastemplate.com/blogs/how-it-works/hotmart-how-it-works</w:t>
      </w:r>
      <w:bookmarkEnd w:id="10"/>
    </w:p>
  </w:footnote>
  <w:footnote w:id="10">
    <w:p w14:paraId="302930F2" w14:textId="77777777" w:rsidR="00085C05" w:rsidRDefault="00000000">
      <w:pPr>
        <w:pStyle w:val="FootnoteText"/>
      </w:pPr>
      <w:bookmarkStart w:id="11" w:name="_Ref_Footnote_10"/>
      <w:r>
        <w:rPr>
          <w:rStyle w:val="FootnoteReference"/>
        </w:rPr>
        <w:footnoteRef/>
      </w:r>
      <w:r>
        <w:t xml:space="preserve"> Alosidiomas — "Curiosidades del español" (datos Instituto Cervantes, Anuario 2024) (06-05-2026). https://alosidiomas.com/curiosidades-espanol-secretos-idioma/</w:t>
      </w:r>
      <w:bookmarkEnd w:id="11"/>
    </w:p>
  </w:footnote>
  <w:footnote w:id="11">
    <w:p w14:paraId="37477900" w14:textId="77777777" w:rsidR="00085C05" w:rsidRDefault="00000000">
      <w:pPr>
        <w:pStyle w:val="FootnoteText"/>
      </w:pPr>
      <w:bookmarkStart w:id="12" w:name="_Ref_Footnote_11"/>
      <w:r>
        <w:rPr>
          <w:rStyle w:val="FootnoteReference"/>
        </w:rPr>
        <w:footnoteRef/>
      </w:r>
      <w:r>
        <w:t xml:space="preserve"> Dataintelo — "Creative Writing Software Market Research Report 2034" (30-09-2025). https://dataintelo.com/report/creative-writing-software-market</w:t>
      </w:r>
      <w:bookmarkEnd w:id="12"/>
    </w:p>
  </w:footnote>
  <w:footnote w:id="12">
    <w:p w14:paraId="4BF9BA9C" w14:textId="77777777" w:rsidR="00085C05" w:rsidRDefault="00000000">
      <w:pPr>
        <w:pStyle w:val="FootnoteText"/>
      </w:pPr>
      <w:bookmarkStart w:id="13" w:name="_Ref_Footnote_12"/>
      <w:r>
        <w:rPr>
          <w:rStyle w:val="FootnoteReference"/>
        </w:rPr>
        <w:footnoteRef/>
      </w:r>
      <w:r>
        <w:t xml:space="preserve"> Publishing.co.uk — "KDP error: EPUB doesn't pass EPUBCheck validation" (may 2026). https://publishing.co.uk/guides/kdp-error-epub-validation-fail/</w:t>
      </w:r>
      <w:bookmarkEnd w:id="13"/>
    </w:p>
  </w:footnote>
  <w:footnote w:id="13">
    <w:p w14:paraId="4678C2B2" w14:textId="77777777" w:rsidR="00085C05" w:rsidRDefault="00000000">
      <w:pPr>
        <w:pStyle w:val="FootnoteText"/>
      </w:pPr>
      <w:bookmarkStart w:id="14" w:name="_Ref_Footnote_13"/>
      <w:r>
        <w:rPr>
          <w:rStyle w:val="FootnoteReference"/>
        </w:rPr>
        <w:footnoteRef/>
      </w:r>
      <w:r>
        <w:t xml:space="preserve"> BookBub Insights — "How Authors Are Thinking About AI (Survey of 1,200+ Authors)" (2025). https://insights.bookbub.com/how-authors-are-thinking-about-ai-survey/</w:t>
      </w:r>
      <w:bookmarkEnd w:id="14"/>
    </w:p>
  </w:footnote>
  <w:footnote w:id="14">
    <w:p w14:paraId="21D20035" w14:textId="77777777" w:rsidR="00085C05" w:rsidRDefault="00000000">
      <w:pPr>
        <w:pStyle w:val="FootnoteText"/>
      </w:pPr>
      <w:bookmarkStart w:id="28" w:name="_Ref_Footnote_14"/>
      <w:r>
        <w:rPr>
          <w:rStyle w:val="FootnoteReference"/>
        </w:rPr>
        <w:footnoteRef/>
      </w:r>
      <w:r>
        <w:t xml:space="preserve"> BestWriting — "43 Self Publishing Statistics for 2026" (13-07-2026). https://bestwriting.com/self-publishing-statistics</w:t>
      </w:r>
      <w:bookmarkEnd w:id="28"/>
    </w:p>
  </w:footnote>
  <w:footnote w:id="15">
    <w:p w14:paraId="105EA70E" w14:textId="77777777" w:rsidR="00085C05" w:rsidRDefault="00000000">
      <w:pPr>
        <w:pStyle w:val="FootnoteText"/>
      </w:pPr>
      <w:bookmarkStart w:id="29" w:name="_Ref_Footnote_15"/>
      <w:r>
        <w:rPr>
          <w:rStyle w:val="FootnoteReference"/>
        </w:rPr>
        <w:footnoteRef/>
      </w:r>
      <w:r>
        <w:t xml:space="preserve"> TheAISurf — "Best AI eBook Generator Tools — Compare Features, Pricing &amp; Use Cases" (2026-01-27). https://theaisurf.com/best-ai-ebook-generator-tools/</w:t>
      </w:r>
      <w:bookmarkEnd w:id="29"/>
    </w:p>
  </w:footnote>
  <w:footnote w:id="16">
    <w:p w14:paraId="1A3B8799" w14:textId="77777777" w:rsidR="00085C05" w:rsidRDefault="00000000">
      <w:pPr>
        <w:pStyle w:val="FootnoteText"/>
      </w:pPr>
      <w:bookmarkStart w:id="30" w:name="_Ref_Footnote_16"/>
      <w:r>
        <w:rPr>
          <w:rStyle w:val="FootnoteReference"/>
        </w:rPr>
        <w:footnoteRef/>
      </w:r>
      <w:r>
        <w:t xml:space="preserve"> Creativindie — Atticus Review 2026 (ratings agregados, bugs, Reddit r/selfpublish, micro-tipografía vs Vellum). (2026-06-30). https://www.creativindie.com/atticus-book-formatting-tool-better-than-scrivener-vellum/</w:t>
      </w:r>
      <w:bookmarkEnd w:id="30"/>
    </w:p>
  </w:footnote>
  <w:footnote w:id="17">
    <w:p w14:paraId="78CDC54E" w14:textId="77777777" w:rsidR="00085C05" w:rsidRDefault="00000000">
      <w:pPr>
        <w:pStyle w:val="FootnoteText"/>
      </w:pPr>
      <w:bookmarkStart w:id="31" w:name="_Ref_Footnote_17"/>
      <w:r>
        <w:rPr>
          <w:rStyle w:val="FootnoteReference"/>
        </w:rPr>
        <w:footnoteRef/>
      </w:r>
      <w:r>
        <w:t xml:space="preserve"> Jeremy Shapiro — Vellum vs. Atticus for Non-Fiction Interior Book Design (bugs TOC de Atticus, actualizado oct 2025). (2025-10-29). https://www.jeremyshapiro.com/2025/06/vellum-vs-atticus-for-non-fiction-interior-book-design/</w:t>
      </w:r>
      <w:bookmarkEnd w:id="31"/>
    </w:p>
  </w:footnote>
  <w:footnote w:id="18">
    <w:p w14:paraId="0917418B" w14:textId="77777777" w:rsidR="00085C05" w:rsidRDefault="00000000">
      <w:pPr>
        <w:pStyle w:val="FootnoteText"/>
      </w:pPr>
      <w:bookmarkStart w:id="32" w:name="_Ref_Footnote_18"/>
      <w:r>
        <w:rPr>
          <w:rStyle w:val="FootnoteReference"/>
        </w:rPr>
        <w:footnoteRef/>
      </w:r>
      <w:r>
        <w:t xml:space="preserve"> GetLinkShop — "Gumroad Review: Fees, Features &amp; Alternatives (2025)". https://getlinkshop.com/blog/gumroad-review</w:t>
      </w:r>
      <w:bookmarkEnd w:id="32"/>
    </w:p>
  </w:footnote>
  <w:footnote w:id="19">
    <w:p w14:paraId="5C3A1CE1" w14:textId="77777777" w:rsidR="00085C05" w:rsidRDefault="00000000">
      <w:pPr>
        <w:pStyle w:val="FootnoteText"/>
      </w:pPr>
      <w:bookmarkStart w:id="33" w:name="_Ref_Footnote_19"/>
      <w:r>
        <w:rPr>
          <w:rStyle w:val="FootnoteReference"/>
        </w:rPr>
        <w:footnoteRef/>
      </w:r>
      <w:r>
        <w:t xml:space="preserve"> BTS (BehindTheScenes) — "Future of Online Courses 2026" (28-01-2026). https://behindthescenes.com/blogs/future-of-online-courses-2026-trends-stats-what-s-next</w:t>
      </w:r>
      <w:bookmarkEnd w:id="33"/>
    </w:p>
  </w:footnote>
  <w:footnote w:id="20">
    <w:p w14:paraId="3C72C419" w14:textId="77777777" w:rsidR="00085C05" w:rsidRDefault="00000000">
      <w:pPr>
        <w:pStyle w:val="FootnoteText"/>
      </w:pPr>
      <w:bookmarkStart w:id="34" w:name="_Ref_Footnote_20"/>
      <w:r>
        <w:rPr>
          <w:rStyle w:val="FootnoteReference"/>
        </w:rPr>
        <w:footnoteRef/>
      </w:r>
      <w:r>
        <w:t xml:space="preserve"> Reedsy — Atticus Review: Is It Worth The Money? (3.25/5, editor plano, colaboración débil). (2025-08-19). https://reedsy.com/studio/resources/atticus-review/</w:t>
      </w:r>
      <w:bookmarkEnd w:id="34"/>
    </w:p>
  </w:footnote>
  <w:footnote w:id="21">
    <w:p w14:paraId="19D9BD30" w14:textId="77777777" w:rsidR="00085C05" w:rsidRDefault="00000000">
      <w:pPr>
        <w:pStyle w:val="FootnoteText"/>
      </w:pPr>
      <w:bookmarkStart w:id="35" w:name="_Ref_Footnote_21"/>
      <w:r>
        <w:rPr>
          <w:rStyle w:val="FootnoteReference"/>
        </w:rPr>
        <w:footnoteRef/>
      </w:r>
      <w:r>
        <w:t xml:space="preserve"> Built&amp;Written — What Is Atticus 2026 (sin IA; PWA; $147). (2026-06-03). https://www.builtwritten.com/blog/what-is-atticus-2026</w:t>
      </w:r>
      <w:bookmarkEnd w:id="35"/>
    </w:p>
  </w:footnote>
  <w:footnote w:id="22">
    <w:p w14:paraId="513BA690" w14:textId="77777777" w:rsidR="00085C05" w:rsidRDefault="00000000">
      <w:pPr>
        <w:pStyle w:val="FootnoteText"/>
      </w:pPr>
      <w:bookmarkStart w:id="36" w:name="_Ref_Footnote_22"/>
      <w:r>
        <w:rPr>
          <w:rStyle w:val="FootnoteReference"/>
        </w:rPr>
        <w:footnoteRef/>
      </w:r>
      <w:r>
        <w:t xml:space="preserve"> Built&amp;Written — Atticus vs Vellum for Coaches 2026 ("Atticus has no AI features"). (2026-07-11). https://www.builtwritten.com/blog/atticus-vs-vellum-2026</w:t>
      </w:r>
      <w:bookmarkEnd w:id="36"/>
    </w:p>
  </w:footnote>
  <w:footnote w:id="23">
    <w:p w14:paraId="7871D121" w14:textId="77777777" w:rsidR="00085C05" w:rsidRDefault="00000000">
      <w:pPr>
        <w:pStyle w:val="FootnoteText"/>
      </w:pPr>
      <w:bookmarkStart w:id="37" w:name="_Ref_Footnote_23"/>
      <w:r>
        <w:rPr>
          <w:rStyle w:val="FootnoteReference"/>
        </w:rPr>
        <w:footnoteRef/>
      </w:r>
      <w:r>
        <w:t xml:space="preserve"> Vellum — web oficial (Press $249.99 / Ebooks $199.99, solo Mac). (consultado 2026). https://vellum.pub/</w:t>
      </w:r>
      <w:bookmarkEnd w:id="37"/>
    </w:p>
  </w:footnote>
  <w:footnote w:id="24">
    <w:p w14:paraId="4170D1A1" w14:textId="77777777" w:rsidR="00085C05" w:rsidRDefault="00000000">
      <w:pPr>
        <w:pStyle w:val="FootnoteText"/>
      </w:pPr>
      <w:bookmarkStart w:id="38" w:name="_Ref_Footnote_24"/>
      <w:r>
        <w:rPr>
          <w:rStyle w:val="FootnoteReference"/>
        </w:rPr>
        <w:footnoteRef/>
      </w:r>
      <w:r>
        <w:t xml:space="preserve"> Reedsy — Vellum Review (3/5, precios, upgrade $99.99). (2026-06-02). https://reedsy.com/blog/guide/book-writing-software/vellum-software/</w:t>
      </w:r>
      <w:bookmarkEnd w:id="38"/>
    </w:p>
  </w:footnote>
  <w:footnote w:id="25">
    <w:p w14:paraId="2026E408" w14:textId="77777777" w:rsidR="00085C05" w:rsidRDefault="00000000">
      <w:pPr>
        <w:pStyle w:val="FootnoteText"/>
      </w:pPr>
      <w:bookmarkStart w:id="39" w:name="_Ref_Footnote_25"/>
      <w:r>
        <w:rPr>
          <w:rStyle w:val="FootnoteReference"/>
        </w:rPr>
        <w:footnoteRef/>
      </w:r>
      <w:r>
        <w:t xml:space="preserve"> Built&amp;Written — Vellum Software 2026 (Vellum 4.0 nov 2025, 4.1 mar 2026, Lucida Grande/KDP, sin footnotes inline). (2026-05-31). https://www.builtwritten.com/blog/vellum-software-2026</w:t>
      </w:r>
      <w:bookmarkEnd w:id="39"/>
    </w:p>
  </w:footnote>
  <w:footnote w:id="26">
    <w:p w14:paraId="0F06D8E2" w14:textId="77777777" w:rsidR="00085C05" w:rsidRDefault="00000000">
      <w:pPr>
        <w:pStyle w:val="FootnoteText"/>
      </w:pPr>
      <w:bookmarkStart w:id="40" w:name="_Ref_Footnote_26"/>
      <w:r>
        <w:rPr>
          <w:rStyle w:val="FootnoteReference"/>
        </w:rPr>
        <w:footnoteRef/>
      </w:r>
      <w:r>
        <w:t xml:space="preserve"> Storyloft — Storyloft vs Vellum 2025 ("Vellum doesn't have AI"; $249.99). (2026-05-06). https://storyloft.app/storyloft-vs-vellum/</w:t>
      </w:r>
      <w:bookmarkEnd w:id="40"/>
    </w:p>
  </w:footnote>
  <w:footnote w:id="27">
    <w:p w14:paraId="14BAFEA4" w14:textId="77777777" w:rsidR="00085C05" w:rsidRDefault="00000000">
      <w:pPr>
        <w:pStyle w:val="FootnoteText"/>
      </w:pPr>
      <w:bookmarkStart w:id="41" w:name="_Ref_Footnote_27"/>
      <w:r>
        <w:rPr>
          <w:rStyle w:val="FootnoteReference"/>
        </w:rPr>
        <w:footnoteRef/>
      </w:r>
      <w:r>
        <w:t xml:space="preserve"> ScribeCount — Atticus vs Vellum vs Lacuna vs Kindle Create (jun 2026: limitaciones de cada uno, precios, outputs). (2026-06-17). https://scribecount.com/author-resource/writing-tools-for-authors/atticus-vs-vellum-vs-lacuna-vs-kindle-create</w:t>
      </w:r>
      <w:bookmarkEnd w:id="41"/>
    </w:p>
  </w:footnote>
  <w:footnote w:id="28">
    <w:p w14:paraId="64C79751" w14:textId="77777777" w:rsidR="00085C05" w:rsidRDefault="00000000">
      <w:pPr>
        <w:pStyle w:val="FootnoteText"/>
      </w:pPr>
      <w:bookmarkStart w:id="42" w:name="_Ref_Footnote_28"/>
      <w:r>
        <w:rPr>
          <w:rStyle w:val="FootnoteReference"/>
        </w:rPr>
        <w:footnoteRef/>
      </w:r>
      <w:r>
        <w:t xml:space="preserve"> Creatorbread — "Top Takeaways from ConvertKit 2022 State of the Creator Economy Report" (s/f). https://www.creatorbread.com/blog/top-takeaways-from-convertkit-2022-state-of-the-creator-economy-report</w:t>
      </w:r>
      <w:bookmarkEnd w:id="42"/>
    </w:p>
  </w:footnote>
  <w:footnote w:id="29">
    <w:p w14:paraId="5804F20A" w14:textId="77777777" w:rsidR="00085C05" w:rsidRDefault="00000000">
      <w:pPr>
        <w:pStyle w:val="FootnoteText"/>
      </w:pPr>
      <w:bookmarkStart w:id="43" w:name="_Ref_Footnote_29"/>
      <w:r>
        <w:rPr>
          <w:rStyle w:val="FootnoteReference"/>
        </w:rPr>
        <w:footnoteRef/>
      </w:r>
      <w:r>
        <w:t xml:space="preserve"> Kindlepreneur — Vellum Review: Why I Used to Recommend It (But No Longer Do). (2026-04-08). https://kindlepreneur.com/vellum-software-review/</w:t>
      </w:r>
      <w:bookmarkEnd w:id="43"/>
    </w:p>
  </w:footnote>
  <w:footnote w:id="30">
    <w:p w14:paraId="50C64DE3" w14:textId="77777777" w:rsidR="00085C05" w:rsidRDefault="00000000">
      <w:pPr>
        <w:pStyle w:val="FootnoteText"/>
      </w:pPr>
      <w:bookmarkStart w:id="44" w:name="_Ref_Footnote_30"/>
      <w:r>
        <w:rPr>
          <w:rStyle w:val="FootnoteReference"/>
        </w:rPr>
        <w:footnoteRef/>
      </w:r>
      <w:r>
        <w:t xml:space="preserve"> TryOrBye — Scrivener Problems &amp; Issues 2025 (compile "minor nightmare", curva "precipicio", sync, imágenes, arrepentimientos). (consultado 2026). https://www.tryorbye.com/products/scrivener</w:t>
      </w:r>
      <w:bookmarkEnd w:id="44"/>
    </w:p>
  </w:footnote>
  <w:footnote w:id="31">
    <w:p w14:paraId="62A6D8A7" w14:textId="77777777" w:rsidR="00085C05" w:rsidRDefault="00000000">
      <w:pPr>
        <w:pStyle w:val="FootnoteText"/>
      </w:pPr>
      <w:bookmarkStart w:id="45" w:name="_Ref_Footnote_31"/>
      <w:r>
        <w:rPr>
          <w:rStyle w:val="FootnoteReference"/>
        </w:rPr>
        <w:footnoteRef/>
      </w:r>
      <w:r>
        <w:t xml:space="preserve"> Reedsy — Studio vs. Atticus vs. Scrivener (colaboración 5/2/1; Atticus exige cuenta de pago). (2025-09-10). https://reedsy.com/studio/resources/reedsy-studio-vs-atticus-vs-scrivener/</w:t>
      </w:r>
      <w:bookmarkEnd w:id="45"/>
    </w:p>
  </w:footnote>
  <w:footnote w:id="32">
    <w:p w14:paraId="35D25AAE" w14:textId="77777777" w:rsidR="00085C05" w:rsidRDefault="00000000">
      <w:pPr>
        <w:pStyle w:val="FootnoteText"/>
      </w:pPr>
      <w:bookmarkStart w:id="46" w:name="_Ref_Footnote_32"/>
      <w:r>
        <w:rPr>
          <w:rStyle w:val="FootnoteReference"/>
        </w:rPr>
        <w:footnoteRef/>
      </w:r>
      <w:r>
        <w:t xml:space="preserve"> Kindlepreneur — "Atticus vs. Vellum" (2026-06-12; incluye nota sobre fin de MOBI el 18-03-2025). https://kindlepreneur.com/atticus-vs-vellum/</w:t>
      </w:r>
      <w:bookmarkEnd w:id="46"/>
    </w:p>
  </w:footnote>
  <w:footnote w:id="33">
    <w:p w14:paraId="61EDA125" w14:textId="77777777" w:rsidR="00085C05" w:rsidRDefault="00000000">
      <w:pPr>
        <w:pStyle w:val="FootnoteText"/>
      </w:pPr>
      <w:bookmarkStart w:id="47" w:name="_Ref_Footnote_33"/>
      <w:r>
        <w:rPr>
          <w:rStyle w:val="FootnoteReference"/>
        </w:rPr>
        <w:footnoteRef/>
      </w:r>
      <w:r>
        <w:t xml:space="preserve"> Kindlepreneur — "Atticus Review" (05-07-2026). https://kindlepreneur.com/atticus-review/</w:t>
      </w:r>
      <w:bookmarkEnd w:id="47"/>
    </w:p>
  </w:footnote>
  <w:footnote w:id="34">
    <w:p w14:paraId="744C03C5" w14:textId="77777777" w:rsidR="00085C05" w:rsidRDefault="00000000">
      <w:pPr>
        <w:pStyle w:val="FootnoteText"/>
      </w:pPr>
      <w:bookmarkStart w:id="48" w:name="_Ref_Footnote_34"/>
      <w:r>
        <w:rPr>
          <w:rStyle w:val="FootnoteReference"/>
        </w:rPr>
        <w:footnoteRef/>
      </w:r>
      <w:r>
        <w:t xml:space="preserve"> Atticus — web oficial (precio $147, garantía 30 días, multiplataforma). (consultado; página datada 2026-06-19). https://www.atticus.io/</w:t>
      </w:r>
      <w:bookmarkEnd w:id="48"/>
    </w:p>
  </w:footnote>
  <w:footnote w:id="35">
    <w:p w14:paraId="23399C06" w14:textId="77777777" w:rsidR="00085C05" w:rsidRDefault="00000000">
      <w:pPr>
        <w:pStyle w:val="FootnoteText"/>
      </w:pPr>
      <w:bookmarkStart w:id="49" w:name="_Ref_Footnote_35"/>
      <w:r>
        <w:rPr>
          <w:rStyle w:val="FootnoteReference"/>
        </w:rPr>
        <w:footnoteRef/>
      </w:r>
      <w:r>
        <w:t xml:space="preserve"> GitHub (jzlh237) — Scrivener Review/Pricing 2026 ($59.99, $50.99 educativa, bundle $95.98, iOS $23.99, trial 30 días de uso). (2026-03-29). https://github.com/jzlh237/literatureandlatte</w:t>
      </w:r>
      <w:bookmarkEnd w:id="49"/>
    </w:p>
  </w:footnote>
  <w:footnote w:id="36">
    <w:p w14:paraId="7423449B" w14:textId="77777777" w:rsidR="00085C05" w:rsidRDefault="00000000">
      <w:pPr>
        <w:pStyle w:val="FootnoteText"/>
      </w:pPr>
      <w:bookmarkStart w:id="50" w:name="_Ref_Footnote_36"/>
      <w:r>
        <w:rPr>
          <w:rStyle w:val="FootnoteReference"/>
        </w:rPr>
        <w:footnoteRef/>
      </w:r>
      <w:r>
        <w:t xml:space="preserve"> Reedsy Studio — web oficial (core gratis; Essential $4.99/mes; Outlining $7.99/mes; trial 30 días). (2026-06-18). https://reedsy.com/studio/</w:t>
      </w:r>
      <w:bookmarkEnd w:id="50"/>
    </w:p>
  </w:footnote>
  <w:footnote w:id="37">
    <w:p w14:paraId="080BD184" w14:textId="77777777" w:rsidR="00085C05" w:rsidRDefault="00000000">
      <w:pPr>
        <w:pStyle w:val="FootnoteText"/>
      </w:pPr>
      <w:bookmarkStart w:id="51" w:name="_Ref_Footnote_37"/>
      <w:r>
        <w:rPr>
          <w:rStyle w:val="FootnoteReference"/>
        </w:rPr>
        <w:footnoteRef/>
      </w:r>
      <w:r>
        <w:t xml:space="preserve"> Vellum Blog — Vellum 4.0: Heading Your Way (subheads 4 niveles, Heading Preset Settings, TOC levels). (2025-11-18). https://blog.vellum.pub/2025/11/vellum-4-0-heading-your-way/</w:t>
      </w:r>
      <w:bookmarkEnd w:id="51"/>
    </w:p>
  </w:footnote>
  <w:footnote w:id="38">
    <w:p w14:paraId="48717B50" w14:textId="77777777" w:rsidR="00085C05" w:rsidRDefault="00000000">
      <w:pPr>
        <w:pStyle w:val="FootnoteText"/>
      </w:pPr>
      <w:bookmarkStart w:id="52" w:name="_Ref_Footnote_38"/>
      <w:r>
        <w:rPr>
          <w:rStyle w:val="FootnoteReference"/>
        </w:rPr>
        <w:footnoteRef/>
      </w:r>
      <w:r>
        <w:t xml:space="preserve"> The Write Practice — Reedsy Studio Review (formato: 3 plantillas, 4 trim sizes, "limiting"). (2026-05-07). https://thewritepractice.com/reedsy-studio-review/</w:t>
      </w:r>
      <w:bookmarkEnd w:id="52"/>
    </w:p>
  </w:footnote>
  <w:footnote w:id="39">
    <w:p w14:paraId="4494750B" w14:textId="77777777" w:rsidR="00085C05" w:rsidRDefault="00000000">
      <w:pPr>
        <w:pStyle w:val="FootnoteText"/>
      </w:pPr>
      <w:bookmarkStart w:id="53" w:name="_Ref_Footnote_39"/>
      <w:r>
        <w:rPr>
          <w:rStyle w:val="FootnoteReference"/>
        </w:rPr>
        <w:footnoteRef/>
      </w:r>
      <w:r>
        <w:t xml:space="preserve"> ShortsIntel — "Creator Economy Statistics 2026" (fuentes: Goldman Sachs 2023, GVR 2025, IAB 2025) (23-04-2026). https://www.shortsintel.com/statistics/creator-economy</w:t>
      </w:r>
      <w:bookmarkEnd w:id="53"/>
    </w:p>
  </w:footnote>
  <w:footnote w:id="40">
    <w:p w14:paraId="0E5AFDB1" w14:textId="77777777" w:rsidR="00085C05" w:rsidRDefault="00000000">
      <w:pPr>
        <w:pStyle w:val="FootnoteText"/>
      </w:pPr>
      <w:bookmarkStart w:id="54" w:name="_Ref_Footnote_40"/>
      <w:r>
        <w:rPr>
          <w:rStyle w:val="FootnoteReference"/>
        </w:rPr>
        <w:footnoteRef/>
      </w:r>
      <w:r>
        <w:t xml:space="preserve"> Textbrush — "The Era of AI Agents in 2026: A Complete Revolution in the Writing Workflow" (2026-05-20). https://www.textbrush.app/learn/2026-ai-en</w:t>
      </w:r>
      <w:bookmarkEnd w:id="54"/>
    </w:p>
  </w:footnote>
  <w:footnote w:id="41">
    <w:p w14:paraId="53C328D8" w14:textId="77777777" w:rsidR="00085C05" w:rsidRDefault="00000000">
      <w:pPr>
        <w:pStyle w:val="FootnoteText"/>
      </w:pPr>
      <w:bookmarkStart w:id="55" w:name="_Ref_Footnote_41"/>
      <w:r>
        <w:rPr>
          <w:rStyle w:val="FootnoteReference"/>
        </w:rPr>
        <w:footnoteRef/>
      </w:r>
      <w:r>
        <w:t xml:space="preserve"> Verified Market Reports — "Online Self-Publishing Services Market 2025-2032" (01-08-2026). https://www.verifiedmarketreports.com/product/online-self-publishing-services-market/</w:t>
      </w:r>
      <w:bookmarkEnd w:id="55"/>
    </w:p>
  </w:footnote>
  <w:footnote w:id="42">
    <w:p w14:paraId="0102D37E" w14:textId="77777777" w:rsidR="00085C05" w:rsidRDefault="00000000">
      <w:pPr>
        <w:pStyle w:val="FootnoteText"/>
      </w:pPr>
      <w:bookmarkStart w:id="56" w:name="_Ref_Footnote_42"/>
      <w:r>
        <w:rPr>
          <w:rStyle w:val="FootnoteReference"/>
        </w:rPr>
        <w:footnoteRef/>
      </w:r>
      <w:r>
        <w:t xml:space="preserve"> PortoTheme — "The 6 Best eBook Creators With Generative AI Templates for 2026" (2026-07-15). https://www.portotheme.com/the-6-best-ebook-creators-with-thousands-of-generative-ai-templates-for-2026/</w:t>
      </w:r>
      <w:bookmarkEnd w:id="56"/>
    </w:p>
  </w:footnote>
  <w:footnote w:id="43">
    <w:p w14:paraId="64784743" w14:textId="77777777" w:rsidR="00085C05" w:rsidRDefault="00000000">
      <w:pPr>
        <w:pStyle w:val="FootnoteText"/>
      </w:pPr>
      <w:bookmarkStart w:id="57" w:name="_Ref_Footnote_43"/>
      <w:r>
        <w:rPr>
          <w:rStyle w:val="FootnoteReference"/>
        </w:rPr>
        <w:footnoteRef/>
      </w:r>
      <w:r>
        <w:t xml:space="preserve"> Kajabi — "Upcoming Changes to your Kajabi plan | Q4 2025" (2026-07-07). https://www.kajabi.com/updates/2025-pricing-updates</w:t>
      </w:r>
      <w:bookmarkEnd w:id="57"/>
    </w:p>
  </w:footnote>
  <w:footnote w:id="44">
    <w:p w14:paraId="7552C1E9" w14:textId="77777777" w:rsidR="00085C05" w:rsidRDefault="00000000">
      <w:pPr>
        <w:pStyle w:val="FootnoteText"/>
      </w:pPr>
      <w:bookmarkStart w:id="58" w:name="_Ref_Footnote_44"/>
      <w:r>
        <w:rPr>
          <w:rStyle w:val="FootnoteReference"/>
        </w:rPr>
        <w:footnoteRef/>
      </w:r>
      <w:r>
        <w:t xml:space="preserve"> Skywork — "Ebookmaker Review (2025): Can AI Really Write Your Next Bestseller?" (2026-02-03). https://skywork.ai/skypage/en/Ebookmaker-Review-(2025)-Can-AI-Really-Write-Your-Next-Bestseller/1976187734828576768</w:t>
      </w:r>
      <w:bookmarkEnd w:id="58"/>
    </w:p>
  </w:footnote>
  <w:footnote w:id="45">
    <w:p w14:paraId="02E5F485" w14:textId="77777777" w:rsidR="00085C05" w:rsidRDefault="00000000">
      <w:pPr>
        <w:pStyle w:val="FootnoteText"/>
      </w:pPr>
      <w:bookmarkStart w:id="59" w:name="_Ref_Footnote_45"/>
      <w:r>
        <w:rPr>
          <w:rStyle w:val="FootnoteReference"/>
        </w:rPr>
        <w:footnoteRef/>
      </w:r>
      <w:r>
        <w:t xml:space="preserve"> Built&amp;Written — Vellum 2026 Review (precios, FORMAT framework, "no custom branded PDF", sin IA). (2026-05-14). https://www.builtwritten.com/blog/vellum-2026</w:t>
      </w:r>
      <w:bookmarkEnd w:id="59"/>
    </w:p>
  </w:footnote>
  <w:footnote w:id="46">
    <w:p w14:paraId="4AE242F2" w14:textId="77777777" w:rsidR="00085C05" w:rsidRDefault="00000000">
      <w:pPr>
        <w:pStyle w:val="FootnoteText"/>
      </w:pPr>
      <w:bookmarkStart w:id="60" w:name="_Ref_Footnote_46"/>
      <w:r>
        <w:rPr>
          <w:rStyle w:val="FootnoteReference"/>
        </w:rPr>
        <w:footnoteRef/>
      </w:r>
      <w:r>
        <w:t xml:space="preserve"> WriteABookAI — Scrivener vs Atticus in 2026 (precios, pila $207+). (2026-02-27). https://writeabookai.com/blog/scrivener-vs-atticus-book-writing-formatting-2026</w:t>
      </w:r>
      <w:bookmarkEnd w:id="60"/>
    </w:p>
  </w:footnote>
  <w:footnote w:id="47">
    <w:p w14:paraId="652F1355" w14:textId="77777777" w:rsidR="00085C05" w:rsidRDefault="00000000">
      <w:pPr>
        <w:pStyle w:val="FootnoteText"/>
      </w:pPr>
      <w:bookmarkStart w:id="61" w:name="_Ref_Footnote_47"/>
      <w:r>
        <w:rPr>
          <w:rStyle w:val="FootnoteReference"/>
        </w:rPr>
        <w:footnoteRef/>
      </w:r>
      <w:r>
        <w:t xml:space="preserve"> Reedsy — Best Book Writing Software 2026 (Studio 4.5/5, Scrivener 4/5, Atticus 2.5/5). (2026-06-02). https://reedsy.com/blog/guide/book-writing-software/</w:t>
      </w:r>
      <w:bookmarkEnd w:id="61"/>
    </w:p>
  </w:footnote>
  <w:footnote w:id="48">
    <w:p w14:paraId="5A05976B" w14:textId="77777777" w:rsidR="00085C05" w:rsidRDefault="00000000">
      <w:pPr>
        <w:pStyle w:val="FootnoteText"/>
      </w:pPr>
      <w:bookmarkStart w:id="63" w:name="_Ref_Footnote_48"/>
      <w:r>
        <w:rPr>
          <w:rStyle w:val="FootnoteReference"/>
        </w:rPr>
        <w:footnoteRef/>
      </w:r>
      <w:r>
        <w:t xml:space="preserve"> Skywork — "Designrr Unlocked (2025): Deep Dive into the AI Ebook Creator" (2025-10-05). https://skywork.ai/skypage/en/Designrr-Unlocked-(2025)-My-Deep-Dive-into-the-AI-Ebook-Creator-Revolutionizing-Content-Strategy/1972862475870203904</w:t>
      </w:r>
      <w:bookmarkEnd w:id="63"/>
    </w:p>
  </w:footnote>
  <w:footnote w:id="49">
    <w:p w14:paraId="238EC129" w14:textId="77777777" w:rsidR="00085C05" w:rsidRDefault="00000000">
      <w:pPr>
        <w:pStyle w:val="FootnoteText"/>
      </w:pPr>
      <w:bookmarkStart w:id="64" w:name="_Ref_Footnote_49"/>
      <w:r>
        <w:rPr>
          <w:rStyle w:val="FootnoteReference"/>
        </w:rPr>
        <w:footnoteRef/>
      </w:r>
      <w:r>
        <w:t xml:space="preserve"> FlipHTML5 — "Designrr Review: Is Designrr AI the Right Tool for Ebook Creation in 2025?" (2025-07-21). https://fliphtml5.com/learning-center/designrr-review-is-designrr-ai-the-right-tool-for-ebook-creation-in-2025/</w:t>
      </w:r>
      <w:bookmarkEnd w:id="64"/>
    </w:p>
  </w:footnote>
  <w:footnote w:id="50">
    <w:p w14:paraId="3694FAD7" w14:textId="77777777" w:rsidR="00085C05" w:rsidRDefault="00000000">
      <w:pPr>
        <w:pStyle w:val="FootnoteText"/>
      </w:pPr>
      <w:bookmarkStart w:id="65" w:name="_Ref_Footnote_50"/>
      <w:r>
        <w:rPr>
          <w:rStyle w:val="FootnoteReference"/>
        </w:rPr>
        <w:footnoteRef/>
      </w:r>
      <w:r>
        <w:t xml:space="preserve"> Atticus — Collaboration Roles (Owner/Co-writer/Editor/Beta Reader). (2024-12-03). https://www.atticus.io/collaboration-roles/</w:t>
      </w:r>
      <w:bookmarkEnd w:id="65"/>
    </w:p>
  </w:footnote>
  <w:footnote w:id="51">
    <w:p w14:paraId="0C67E5BF" w14:textId="77777777" w:rsidR="00085C05" w:rsidRDefault="00000000">
      <w:pPr>
        <w:pStyle w:val="FootnoteText"/>
      </w:pPr>
      <w:bookmarkStart w:id="66" w:name="_Ref_Footnote_51"/>
      <w:r>
        <w:rPr>
          <w:rStyle w:val="FootnoteReference"/>
        </w:rPr>
        <w:footnoteRef/>
      </w:r>
      <w:r>
        <w:t xml:space="preserve"> FitGap — "Designrr reviews 2025" (2025). https://us.fitgap.com/products/designrr</w:t>
      </w:r>
      <w:bookmarkEnd w:id="66"/>
    </w:p>
  </w:footnote>
  <w:footnote w:id="52">
    <w:p w14:paraId="08E5897C" w14:textId="77777777" w:rsidR="00085C05" w:rsidRDefault="00000000">
      <w:pPr>
        <w:pStyle w:val="FootnoteText"/>
      </w:pPr>
      <w:bookmarkStart w:id="67" w:name="_Ref_Footnote_52"/>
      <w:r>
        <w:rPr>
          <w:rStyle w:val="FootnoteReference"/>
        </w:rPr>
        <w:footnoteRef/>
      </w:r>
      <w:r>
        <w:t xml:space="preserve"> Inkfluence AI — "Best AI Ebook Generators in 2026: 7 Tools Compared" (2026-02-09). https://www.inkfluenceai.com/blog/best-ai-ebook-generators-2026</w:t>
      </w:r>
      <w:bookmarkEnd w:id="67"/>
    </w:p>
  </w:footnote>
  <w:footnote w:id="53">
    <w:p w14:paraId="68D81D41" w14:textId="77777777" w:rsidR="00085C05" w:rsidRDefault="00000000">
      <w:pPr>
        <w:pStyle w:val="FootnoteText"/>
      </w:pPr>
      <w:bookmarkStart w:id="68" w:name="_Ref_Footnote_53"/>
      <w:r>
        <w:rPr>
          <w:rStyle w:val="FootnoteReference"/>
        </w:rPr>
        <w:footnoteRef/>
      </w:r>
      <w:r>
        <w:t xml:space="preserve"> Gitnux — "AI In The Book Publishing Industry Statistics 2026" (2026-07-03). https://gitnux.org/ai-in-the-book-publishing-industry-statistics/</w:t>
      </w:r>
      <w:bookmarkEnd w:id="68"/>
    </w:p>
  </w:footnote>
  <w:footnote w:id="54">
    <w:p w14:paraId="45E74431" w14:textId="77777777" w:rsidR="00085C05" w:rsidRDefault="00000000">
      <w:pPr>
        <w:pStyle w:val="FootnoteText"/>
      </w:pPr>
      <w:bookmarkStart w:id="69" w:name="_Ref_Footnote_54"/>
      <w:r>
        <w:rPr>
          <w:rStyle w:val="FootnoteReference"/>
        </w:rPr>
        <w:footnoteRef/>
      </w:r>
      <w:r>
        <w:t xml:space="preserve"> Univers Studio — "Amazon KDP AI Generated Content Policy 2025-2026" (2026-04-16). https://univers.studio/blog/kdp-ai-content-policy-2026/</w:t>
      </w:r>
      <w:bookmarkEnd w:id="69"/>
    </w:p>
  </w:footnote>
  <w:footnote w:id="55">
    <w:p w14:paraId="542FF620" w14:textId="77777777" w:rsidR="00085C05" w:rsidRDefault="00000000">
      <w:pPr>
        <w:pStyle w:val="FootnoteText"/>
      </w:pPr>
      <w:bookmarkStart w:id="70" w:name="_Ref_Footnote_55"/>
      <w:r>
        <w:rPr>
          <w:rStyle w:val="FootnoteReference"/>
        </w:rPr>
        <w:footnoteRef/>
      </w:r>
      <w:r>
        <w:t xml:space="preserve"> KDPBuilder — "KDP AI Disclosure Rules in 2026" (2026-06-28). https://kdpbuilder.com/blog/kdp-ai-disclosure-rules</w:t>
      </w:r>
      <w:bookmarkEnd w:id="70"/>
    </w:p>
  </w:footnote>
  <w:footnote w:id="56">
    <w:p w14:paraId="4F01F9CC" w14:textId="77777777" w:rsidR="00085C05" w:rsidRDefault="00000000">
      <w:pPr>
        <w:pStyle w:val="FootnoteText"/>
      </w:pPr>
      <w:bookmarkStart w:id="71" w:name="_Ref_Footnote_56"/>
      <w:r>
        <w:rPr>
          <w:rStyle w:val="FootnoteReference"/>
        </w:rPr>
        <w:footnoteRef/>
      </w:r>
      <w:r>
        <w:t xml:space="preserve"> Inkfluence AI — "Best Squibler Alternative (2026)" (2026-05-15). https://www.inkfluenceai.com/squibler-alternative</w:t>
      </w:r>
      <w:bookmarkEnd w:id="71"/>
    </w:p>
  </w:footnote>
  <w:footnote w:id="57">
    <w:p w14:paraId="19D8EE97" w14:textId="77777777" w:rsidR="00085C05" w:rsidRDefault="00000000">
      <w:pPr>
        <w:pStyle w:val="FootnoteText"/>
      </w:pPr>
      <w:bookmarkStart w:id="72" w:name="_Ref_Footnote_57"/>
      <w:r>
        <w:rPr>
          <w:rStyle w:val="FootnoteReference"/>
        </w:rPr>
        <w:footnoteRef/>
      </w:r>
      <w:r>
        <w:t xml:space="preserve"> QWE.edu.pl — "AI Lead Magnet Tools: Stop Asking ChatGPT to Write Your Ebook" (2026-02-21). https://www.qwe.edu.pl/tutorial/ai-tools-creating-lead-magnets-ebooks/</w:t>
      </w:r>
      <w:bookmarkEnd w:id="72"/>
    </w:p>
  </w:footnote>
  <w:footnote w:id="58">
    <w:p w14:paraId="3245C46A" w14:textId="77777777" w:rsidR="00085C05" w:rsidRDefault="00000000">
      <w:pPr>
        <w:pStyle w:val="FootnoteText"/>
      </w:pPr>
      <w:bookmarkStart w:id="73" w:name="_Ref_Footnote_58"/>
      <w:r>
        <w:rPr>
          <w:rStyle w:val="FootnoteReference"/>
        </w:rPr>
        <w:footnoteRef/>
      </w:r>
      <w:r>
        <w:t xml:space="preserve"> Inkfluence AI — "Inkfluence AI vs Canva: Ebook Creation (2025-2026)" (2025-11-22). https://www.inkfluenceai.com/blog/inkfluence-ai-vs-canva-ebook-creation-2025</w:t>
      </w:r>
      <w:bookmarkEnd w:id="73"/>
    </w:p>
  </w:footnote>
  <w:footnote w:id="59">
    <w:p w14:paraId="398CDAC5" w14:textId="77777777" w:rsidR="00085C05" w:rsidRDefault="00000000">
      <w:pPr>
        <w:pStyle w:val="FootnoteText"/>
      </w:pPr>
      <w:bookmarkStart w:id="74" w:name="_Ref_Footnote_59"/>
      <w:r>
        <w:rPr>
          <w:rStyle w:val="FootnoteReference"/>
        </w:rPr>
        <w:footnoteRef/>
      </w:r>
      <w:r>
        <w:t xml:space="preserve"> Inkfluence AI — "Sudowrite Review 2026: Pricing, Features, Pros &amp; Cons" (2026-03-20). https://www.inkfluenceai.com/blog/sudowrite-review-pricing-2026</w:t>
      </w:r>
      <w:bookmarkEnd w:id="74"/>
    </w:p>
  </w:footnote>
  <w:footnote w:id="60">
    <w:p w14:paraId="6BB17D3F" w14:textId="77777777" w:rsidR="00085C05" w:rsidRDefault="00000000">
      <w:pPr>
        <w:pStyle w:val="FootnoteText"/>
      </w:pPr>
      <w:bookmarkStart w:id="75" w:name="_Ref_Footnote_60"/>
      <w:r>
        <w:rPr>
          <w:rStyle w:val="FootnoteReference"/>
        </w:rPr>
        <w:footnoteRef/>
      </w:r>
      <w:r>
        <w:t xml:space="preserve"> Kindlepreneur — "Novelcrafter Review: Is It the Most Powerful AI Tool for Writers?" (2025-12-23). https://kindlepreneur.com/novelcrafter-review/</w:t>
      </w:r>
      <w:bookmarkEnd w:id="75"/>
    </w:p>
  </w:footnote>
  <w:footnote w:id="61">
    <w:p w14:paraId="131ED73F" w14:textId="77777777" w:rsidR="00085C05" w:rsidRDefault="00000000">
      <w:pPr>
        <w:pStyle w:val="FootnoteText"/>
      </w:pPr>
      <w:bookmarkStart w:id="76" w:name="_Ref_Footnote_61"/>
      <w:r>
        <w:rPr>
          <w:rStyle w:val="FootnoteReference"/>
        </w:rPr>
        <w:footnoteRef/>
      </w:r>
      <w:r>
        <w:t xml:space="preserve"> Skywork (ES) — "Youbooks AI: Análisis Completo del Generador de Libros por IA (2025)" (2025-08-06). https://skywork.ai/skypage/es/youbooks-ai-book-generator-analysis/1993488933216206848</w:t>
      </w:r>
      <w:bookmarkEnd w:id="76"/>
    </w:p>
  </w:footnote>
  <w:footnote w:id="62">
    <w:p w14:paraId="21343B05" w14:textId="77777777" w:rsidR="00085C05" w:rsidRDefault="00000000">
      <w:pPr>
        <w:pStyle w:val="FootnoteText"/>
      </w:pPr>
      <w:bookmarkStart w:id="77" w:name="_Ref_Footnote_62"/>
      <w:r>
        <w:rPr>
          <w:rStyle w:val="FootnoteReference"/>
        </w:rPr>
        <w:footnoteRef/>
      </w:r>
      <w:r>
        <w:t xml:space="preserve"> Jasper — "How to Scale Marketing Ebook Creation with Jasper" (web oficial, consultada 2026). https://www.jasper.ai/workflows/ebook-creator</w:t>
      </w:r>
      <w:bookmarkEnd w:id="77"/>
    </w:p>
  </w:footnote>
  <w:footnote w:id="63">
    <w:p w14:paraId="6BC8EBF5" w14:textId="77777777" w:rsidR="00085C05" w:rsidRDefault="00000000">
      <w:pPr>
        <w:pStyle w:val="FootnoteText"/>
      </w:pPr>
      <w:bookmarkStart w:id="78" w:name="_Ref_Footnote_63"/>
      <w:r>
        <w:rPr>
          <w:rStyle w:val="FootnoteReference"/>
        </w:rPr>
        <w:footnoteRef/>
      </w:r>
      <w:r>
        <w:t xml:space="preserve"> Kindlepreneur — Atticus Review (tabla comparativa Vellum, $147, 1.500+ fuentes, footnotes). (2026-07-05). https://kindlepreneur.com/atticus-review/</w:t>
      </w:r>
      <w:bookmarkEnd w:id="78"/>
    </w:p>
  </w:footnote>
  <w:footnote w:id="64">
    <w:p w14:paraId="1610F83D" w14:textId="77777777" w:rsidR="00085C05" w:rsidRDefault="00000000">
      <w:pPr>
        <w:pStyle w:val="FootnoteText"/>
      </w:pPr>
      <w:bookmarkStart w:id="79" w:name="_Ref_Footnote_64"/>
      <w:r>
        <w:rPr>
          <w:rStyle w:val="FootnoteReference"/>
        </w:rPr>
        <w:footnoteRef/>
      </w:r>
      <w:r>
        <w:t xml:space="preserve"> Nzangimuimi — "ConvertKit's State of the Creator Economy Report 2024" (01-10-2025). https://nzangimuimi.com/blog/convertkit-2024-state-of-the-creator-economy-report/</w:t>
      </w:r>
      <w:bookmarkEnd w:id="79"/>
    </w:p>
  </w:footnote>
  <w:footnote w:id="65">
    <w:p w14:paraId="240FF4BC" w14:textId="77777777" w:rsidR="00085C05" w:rsidRDefault="00000000">
      <w:pPr>
        <w:pStyle w:val="FootnoteText"/>
      </w:pPr>
      <w:bookmarkStart w:id="80" w:name="_Ref_Footnote_65"/>
      <w:r>
        <w:rPr>
          <w:rStyle w:val="FootnoteReference"/>
        </w:rPr>
        <w:footnoteRef/>
      </w:r>
      <w:r>
        <w:t xml:space="preserve"> CheckThat.ai — "Novelcrafter Pricing 2026: Plans, Costs &amp; AI Fees" (2026-05-19). https://checkthat.ai/brands/novelcrafter/pricing</w:t>
      </w:r>
      <w:bookmarkEnd w:id="80"/>
    </w:p>
  </w:footnote>
  <w:footnote w:id="66">
    <w:p w14:paraId="132C8918" w14:textId="77777777" w:rsidR="00085C05" w:rsidRDefault="00000000">
      <w:pPr>
        <w:pStyle w:val="FootnoteText"/>
      </w:pPr>
      <w:bookmarkStart w:id="81" w:name="_Ref_Footnote_66"/>
      <w:r>
        <w:rPr>
          <w:rStyle w:val="FootnoteReference"/>
        </w:rPr>
        <w:footnoteRef/>
      </w:r>
      <w:r>
        <w:t xml:space="preserve"> Literature &amp; Latte Forum — Scrivener for iOS topics (sync errors, conflictos, nov 2025-ene 2026). (2026-04-04). https://forum.literatureandlatte.com/c/scrivener/scrivener-for-ios/14</w:t>
      </w:r>
      <w:bookmarkEnd w:id="81"/>
    </w:p>
  </w:footnote>
  <w:footnote w:id="67">
    <w:p w14:paraId="2E942B6C" w14:textId="77777777" w:rsidR="00085C05" w:rsidRDefault="00000000">
      <w:pPr>
        <w:pStyle w:val="FootnoteText"/>
      </w:pPr>
      <w:bookmarkStart w:id="82" w:name="_Ref_Footnote_67"/>
      <w:r>
        <w:rPr>
          <w:rStyle w:val="FootnoteReference"/>
        </w:rPr>
        <w:footnoteRef/>
      </w:r>
      <w:r>
        <w:t xml:space="preserve"> WriteABookAI — Reedsy vs LivingWriter 2026 (Reedsy sin IA "por principio", formato limitado). (2026-03-24). https://writeabookai.com/blog/reedsy-vs-livingwriter-book-writing-software-2026</w:t>
      </w:r>
      <w:bookmarkEnd w:id="82"/>
    </w:p>
  </w:footnote>
  <w:footnote w:id="68">
    <w:p w14:paraId="05528F93" w14:textId="77777777" w:rsidR="00085C05" w:rsidRDefault="00000000">
      <w:pPr>
        <w:pStyle w:val="FootnoteText"/>
      </w:pPr>
      <w:bookmarkStart w:id="83" w:name="_Ref_Footnote_68"/>
      <w:r>
        <w:rPr>
          <w:rStyle w:val="FootnoteReference"/>
        </w:rPr>
        <w:footnoteRef/>
      </w:r>
      <w:r>
        <w:t xml:space="preserve"> KDPEasy — "The Complete Guide to AI-Generated Book Covers in 2025" (2025-01-15). https://www.kdpeasy.com/guides/ai-book-covers</w:t>
      </w:r>
      <w:bookmarkEnd w:id="83"/>
    </w:p>
  </w:footnote>
  <w:footnote w:id="69">
    <w:p w14:paraId="4B5ABCDD" w14:textId="77777777" w:rsidR="00085C05" w:rsidRDefault="00000000">
      <w:pPr>
        <w:pStyle w:val="FootnoteText"/>
      </w:pPr>
      <w:bookmarkStart w:id="84" w:name="_Ref_Footnote_69"/>
      <w:r>
        <w:rPr>
          <w:rStyle w:val="FootnoteReference"/>
        </w:rPr>
        <w:footnoteRef/>
      </w:r>
      <w:r>
        <w:t xml:space="preserve"> GetProfitClear — "Gumroad Fees: Complete 2025 Pricing Guide for Digital Creators" (2025-10-09). https://getprofitclear.com/blog/gumroad-fees-complete-guide</w:t>
      </w:r>
      <w:bookmarkEnd w:id="84"/>
    </w:p>
  </w:footnote>
  <w:footnote w:id="70">
    <w:p w14:paraId="730C488B" w14:textId="77777777" w:rsidR="00085C05" w:rsidRDefault="00000000">
      <w:pPr>
        <w:pStyle w:val="FootnoteText"/>
      </w:pPr>
      <w:bookmarkStart w:id="85" w:name="_Ref_Footnote_70"/>
      <w:r>
        <w:rPr>
          <w:rStyle w:val="FootnoteReference"/>
        </w:rPr>
        <w:footnoteRef/>
      </w:r>
      <w:r>
        <w:t xml:space="preserve"> Metablogue — "Designrr Review – Easily Create EBooks, Flipbooks And Lead Magnets" (consultado 2026; actualizado). https://metablogue.com/designrr-ebook-creator-review/</w:t>
      </w:r>
      <w:bookmarkEnd w:id="85"/>
    </w:p>
  </w:footnote>
  <w:footnote w:id="71">
    <w:p w14:paraId="3947E9AB" w14:textId="77777777" w:rsidR="00085C05" w:rsidRDefault="00000000">
      <w:pPr>
        <w:pStyle w:val="FootnoteText"/>
      </w:pPr>
      <w:bookmarkStart w:id="86" w:name="_Ref_Footnote_71"/>
      <w:r>
        <w:rPr>
          <w:rStyle w:val="FootnoteReference"/>
        </w:rPr>
        <w:footnoteRef/>
      </w:r>
      <w:r>
        <w:t xml:space="preserve"> SaaSTurf — "Paddle vs Lemon Squeezy: Merchant of Record for Global SaaS, Explained" (2026-07-17). https://www.saasturf.com/blog/paddle-vs-lemon-squeezy/</w:t>
      </w:r>
      <w:bookmarkEnd w:id="86"/>
    </w:p>
  </w:footnote>
  <w:footnote w:id="72">
    <w:p w14:paraId="16DC11A0" w14:textId="77777777" w:rsidR="00085C05" w:rsidRDefault="00000000">
      <w:pPr>
        <w:pStyle w:val="FootnoteText"/>
      </w:pPr>
      <w:bookmarkStart w:id="87" w:name="_Ref_Footnote_72"/>
      <w:r>
        <w:rPr>
          <w:rStyle w:val="FootnoteReference"/>
        </w:rPr>
        <w:footnoteRef/>
      </w:r>
      <w:r>
        <w:t xml:space="preserve"> Todapay — "Lemon Squeezy vs Stripe: Two Models, One Decision" (2026-07-06). https://todapay.com/blog/lemon-squeezy-vs-stripe-two-models-one-decision/</w:t>
      </w:r>
      <w:bookmarkEnd w:id="87"/>
    </w:p>
  </w:footnote>
  <w:footnote w:id="73">
    <w:p w14:paraId="139CEC10" w14:textId="77777777" w:rsidR="00085C05" w:rsidRDefault="00000000">
      <w:pPr>
        <w:pStyle w:val="FootnoteText"/>
      </w:pPr>
      <w:bookmarkStart w:id="88" w:name="_Ref_Footnote_73"/>
      <w:r>
        <w:rPr>
          <w:rStyle w:val="FootnoteReference"/>
        </w:rPr>
        <w:footnoteRef/>
      </w:r>
      <w:r>
        <w:t xml:space="preserve"> Payhip — "How to Sell on Payhip in 2025" (2025-10-17). https://payhip.com/Bookfunsionstudio/blog/payhip/payhip-how-to-sell</w:t>
      </w:r>
      <w:bookmarkEnd w:id="88"/>
    </w:p>
  </w:footnote>
  <w:footnote w:id="74">
    <w:p w14:paraId="0618D97D" w14:textId="77777777" w:rsidR="00085C05" w:rsidRDefault="00000000">
      <w:pPr>
        <w:pStyle w:val="FootnoteText"/>
      </w:pPr>
      <w:bookmarkStart w:id="89" w:name="_Ref_Footnote_74"/>
      <w:r>
        <w:rPr>
          <w:rStyle w:val="FootnoteReference"/>
        </w:rPr>
        <w:footnoteRef/>
      </w:r>
      <w:r>
        <w:t xml:space="preserve"> Sellfy — "Pricing: Plans From $29/mo, 0% Transaction Fees" (s/f). https://sellfy.com/pricing/</w:t>
      </w:r>
      <w:bookmarkEnd w:id="89"/>
    </w:p>
  </w:footnote>
  <w:footnote w:id="75">
    <w:p w14:paraId="025C4251" w14:textId="77777777" w:rsidR="00085C05" w:rsidRDefault="00000000">
      <w:pPr>
        <w:pStyle w:val="FootnoteText"/>
      </w:pPr>
      <w:bookmarkStart w:id="90" w:name="_Ref_Footnote_75"/>
      <w:r>
        <w:rPr>
          <w:rStyle w:val="FootnoteReference"/>
        </w:rPr>
        <w:footnoteRef/>
      </w:r>
      <w:r>
        <w:t xml:space="preserve"> Learning Revolution — "New Podia Pricing (2026)" (2026-06-14). https://www.learningrevolution.net/podia-pricing/</w:t>
      </w:r>
      <w:bookmarkEnd w:id="90"/>
    </w:p>
  </w:footnote>
  <w:footnote w:id="76">
    <w:p w14:paraId="2868CFDB" w14:textId="77777777" w:rsidR="00085C05" w:rsidRDefault="00000000">
      <w:pPr>
        <w:pStyle w:val="FootnoteText"/>
      </w:pPr>
      <w:bookmarkStart w:id="91" w:name="_Ref_Footnote_76"/>
      <w:r>
        <w:rPr>
          <w:rStyle w:val="FootnoteReference"/>
        </w:rPr>
        <w:footnoteRef/>
      </w:r>
      <w:r>
        <w:t xml:space="preserve"> Ruzuku — "Teachable Pricing 2026: Plans, Fees &amp; Hidden Costs" (2026-04-06). https://www.ruzuku.com/compare/teachable-pricing</w:t>
      </w:r>
      <w:bookmarkEnd w:id="91"/>
    </w:p>
  </w:footnote>
  <w:footnote w:id="77">
    <w:p w14:paraId="57FAC167" w14:textId="77777777" w:rsidR="00085C05" w:rsidRDefault="00000000">
      <w:pPr>
        <w:pStyle w:val="FootnoteText"/>
      </w:pPr>
      <w:bookmarkStart w:id="92" w:name="_Ref_Footnote_77"/>
      <w:r>
        <w:rPr>
          <w:rStyle w:val="FootnoteReference"/>
        </w:rPr>
        <w:footnoteRef/>
      </w:r>
      <w:r>
        <w:t xml:space="preserve"> Kajabi Help — "Creator Studio" (2026-07-21). https://help.kajabi.com/articles/marketing/creator-studio/creator-studio</w:t>
      </w:r>
      <w:bookmarkEnd w:id="92"/>
    </w:p>
  </w:footnote>
  <w:footnote w:id="78">
    <w:p w14:paraId="49DA69C7" w14:textId="77777777" w:rsidR="00085C05" w:rsidRDefault="00000000">
      <w:pPr>
        <w:pStyle w:val="FootnoteText"/>
      </w:pPr>
      <w:bookmarkStart w:id="93" w:name="_Ref_Footnote_78"/>
      <w:r>
        <w:rPr>
          <w:rStyle w:val="FootnoteReference"/>
        </w:rPr>
        <w:footnoteRef/>
      </w:r>
      <w:r>
        <w:t xml:space="preserve"> AI eBook Suite — "How to Sell AI-Generated eBooks on Amazon KDP — Complete 2025 Guide". https://aiebooksuite.com/en/kdp-guide</w:t>
      </w:r>
      <w:bookmarkEnd w:id="93"/>
    </w:p>
  </w:footnote>
  <w:footnote w:id="79">
    <w:p w14:paraId="5B18DD92" w14:textId="77777777" w:rsidR="00085C05" w:rsidRDefault="00000000">
      <w:pPr>
        <w:pStyle w:val="FootnoteText"/>
      </w:pPr>
      <w:bookmarkStart w:id="94" w:name="_Ref_Footnote_79"/>
      <w:r>
        <w:rPr>
          <w:rStyle w:val="FootnoteReference"/>
        </w:rPr>
        <w:footnoteRef/>
      </w:r>
      <w:r>
        <w:t xml:space="preserve"> Univers Studio — "Amazon KDP AI Generated Content Policy 2025-2026" (2026-04-16). https://univers.studio/blog/kdp-ai-content-policy-2026/</w:t>
      </w:r>
      <w:bookmarkEnd w:id="94"/>
    </w:p>
  </w:footnote>
  <w:footnote w:id="80">
    <w:p w14:paraId="63F9018E" w14:textId="77777777" w:rsidR="00085C05" w:rsidRDefault="00000000">
      <w:pPr>
        <w:pStyle w:val="FootnoteText"/>
      </w:pPr>
      <w:bookmarkStart w:id="95" w:name="_Ref_Footnote_80"/>
      <w:r>
        <w:rPr>
          <w:rStyle w:val="FootnoteReference"/>
        </w:rPr>
        <w:footnoteRef/>
      </w:r>
      <w:r>
        <w:t xml:space="preserve"> ScribeCount — "Draft2Digital: The Complete Guide for Wide Authors" (2026-06-24). https://scribecount.com/author-resource/publishing-wide/draft2digital-for-indie-authors</w:t>
      </w:r>
      <w:bookmarkEnd w:id="95"/>
    </w:p>
  </w:footnote>
  <w:footnote w:id="81">
    <w:p w14:paraId="62BD846B" w14:textId="77777777" w:rsidR="00085C05" w:rsidRDefault="00000000">
      <w:pPr>
        <w:pStyle w:val="FootnoteText"/>
      </w:pPr>
      <w:bookmarkStart w:id="96" w:name="_Ref_Footnote_81"/>
      <w:r>
        <w:rPr>
          <w:rStyle w:val="FootnoteReference"/>
        </w:rPr>
        <w:footnoteRef/>
      </w:r>
      <w:r>
        <w:t xml:space="preserve"> Publiwrite — "Royalties in 2025: Which Platforms Pay Authors Best" (2025-09-23). https://blog.publiwrite.com/royalties-in-2025-which-platforms-pay-authors-best-and-why-transparency-matters/</w:t>
      </w:r>
      <w:bookmarkEnd w:id="96"/>
    </w:p>
  </w:footnote>
  <w:footnote w:id="82">
    <w:p w14:paraId="1B8DE2ED" w14:textId="77777777" w:rsidR="00085C05" w:rsidRDefault="00000000">
      <w:pPr>
        <w:pStyle w:val="FootnoteText"/>
      </w:pPr>
      <w:bookmarkStart w:id="97" w:name="_Ref_Footnote_82"/>
      <w:r>
        <w:rPr>
          <w:rStyle w:val="FootnoteReference"/>
        </w:rPr>
        <w:footnoteRef/>
      </w:r>
      <w:r>
        <w:t xml:space="preserve"> Storyloft — "Best Self-Publishing Software Compared (2026)" (2026-04-28). https://storyloft.app/best-self-publishing-software/</w:t>
      </w:r>
      <w:bookmarkEnd w:id="97"/>
    </w:p>
  </w:footnote>
  <w:footnote w:id="83">
    <w:p w14:paraId="2D4760B6" w14:textId="77777777" w:rsidR="00085C05" w:rsidRDefault="00000000">
      <w:pPr>
        <w:pStyle w:val="FootnoteText"/>
      </w:pPr>
      <w:bookmarkStart w:id="98" w:name="_Ref_Footnote_83"/>
      <w:r>
        <w:rPr>
          <w:rStyle w:val="FootnoteReference"/>
        </w:rPr>
        <w:footnoteRef/>
      </w:r>
      <w:r>
        <w:t xml:space="preserve"> Kickass Writer's Guide — "10 Best Writing Tools for Self-Publishing Authors 2025" (2025-10-20). https://kickasswritersguide.com/best-writing-tools/</w:t>
      </w:r>
      <w:bookmarkEnd w:id="98"/>
    </w:p>
  </w:footnote>
  <w:footnote w:id="84">
    <w:p w14:paraId="2655EBF4" w14:textId="77777777" w:rsidR="00085C05" w:rsidRDefault="00000000">
      <w:pPr>
        <w:pStyle w:val="FootnoteText"/>
      </w:pPr>
      <w:bookmarkStart w:id="99" w:name="_Ref_Footnote_84"/>
      <w:r>
        <w:rPr>
          <w:rStyle w:val="FootnoteReference"/>
        </w:rPr>
        <w:footnoteRef/>
      </w:r>
      <w:r>
        <w:t xml:space="preserve"> Digital Riders — "Herramientas para lanzar un infoproducto exitoso en 2025" (2026-06-17). https://digitalriders.com/herramientas-lanzar-infoproducto-2025/</w:t>
      </w:r>
      <w:bookmarkEnd w:id="99"/>
    </w:p>
  </w:footnote>
  <w:footnote w:id="85">
    <w:p w14:paraId="4949AE35" w14:textId="77777777" w:rsidR="00085C05" w:rsidRDefault="00000000">
      <w:pPr>
        <w:pStyle w:val="FootnoteText"/>
      </w:pPr>
      <w:bookmarkStart w:id="100" w:name="_Ref_Footnote_85"/>
      <w:r>
        <w:rPr>
          <w:rStyle w:val="FootnoteReference"/>
        </w:rPr>
        <w:footnoteRef/>
      </w:r>
      <w:r>
        <w:t xml:space="preserve"> GroupApp — "How to create digital downloads to sell" (2026-01-14). https://www.group.app/blog/how-to-create-digital-downloads-to-sell/</w:t>
      </w:r>
      <w:bookmarkEnd w:id="100"/>
    </w:p>
  </w:footnote>
  <w:footnote w:id="86">
    <w:p w14:paraId="2AACF46F" w14:textId="77777777" w:rsidR="00085C05" w:rsidRDefault="00000000">
      <w:pPr>
        <w:pStyle w:val="FootnoteText"/>
      </w:pPr>
      <w:bookmarkStart w:id="102" w:name="_Ref_Footnote_86"/>
      <w:r>
        <w:rPr>
          <w:rStyle w:val="FootnoteReference"/>
        </w:rPr>
        <w:footnoteRef/>
      </w:r>
      <w:r>
        <w:t xml:space="preserve"> ManuscriptReport — "Indie Author Income Statistics" (ALLi 2025, Written Word Media 2023-2025, Bowker) (04-06-2026). https://manuscriptreport.com/data/indie-author-income-statistics</w:t>
      </w:r>
      <w:bookmarkEnd w:id="102"/>
    </w:p>
  </w:footnote>
  <w:footnote w:id="87">
    <w:p w14:paraId="4829FD3F" w14:textId="77777777" w:rsidR="00085C05" w:rsidRDefault="00000000">
      <w:pPr>
        <w:pStyle w:val="FootnoteText"/>
      </w:pPr>
      <w:bookmarkStart w:id="103" w:name="_Ref_Footnote_87"/>
      <w:r>
        <w:rPr>
          <w:rStyle w:val="FootnoteReference"/>
        </w:rPr>
        <w:footnoteRef/>
      </w:r>
      <w:r>
        <w:t xml:space="preserve"> Verified Market Research — "Self-Publishing Service Market Report (2025-2033)" (15-07-2026). https://www.verifiedmarketresearch.com/product/selfpublishing-service-market/</w:t>
      </w:r>
      <w:bookmarkEnd w:id="103"/>
    </w:p>
  </w:footnote>
  <w:footnote w:id="88">
    <w:p w14:paraId="0DE53933" w14:textId="77777777" w:rsidR="00085C05" w:rsidRDefault="00000000">
      <w:pPr>
        <w:pStyle w:val="FootnoteText"/>
      </w:pPr>
      <w:bookmarkStart w:id="104" w:name="_Ref_Footnote_88"/>
      <w:r>
        <w:rPr>
          <w:rStyle w:val="FootnoteReference"/>
        </w:rPr>
        <w:footnoteRef/>
      </w:r>
      <w:r>
        <w:t xml:space="preserve"> AMT — "The Creator Economy in 2026: Market Size" (SNS Insider, Goldman Sachs) (13-07-2026). https://amt.ai/blog/creator-economy-market</w:t>
      </w:r>
      <w:bookmarkEnd w:id="104"/>
    </w:p>
  </w:footnote>
  <w:footnote w:id="89">
    <w:p w14:paraId="2DD00ECE" w14:textId="77777777" w:rsidR="00085C05" w:rsidRDefault="00000000">
      <w:pPr>
        <w:pStyle w:val="FootnoteText"/>
      </w:pPr>
      <w:bookmarkStart w:id="105" w:name="_Ref_Footnote_89"/>
      <w:r>
        <w:rPr>
          <w:rStyle w:val="FootnoteReference"/>
        </w:rPr>
        <w:footnoteRef/>
      </w:r>
      <w:r>
        <w:t xml:space="preserve"> Grand View Research — "Creator Economy Market Report, 2033" (2026-06-09). https://www.grandviewresearch.com/industry-analysis/creator-economy-market-report</w:t>
      </w:r>
      <w:bookmarkEnd w:id="105"/>
    </w:p>
  </w:footnote>
  <w:footnote w:id="90">
    <w:p w14:paraId="21D4ADEF" w14:textId="77777777" w:rsidR="00085C05" w:rsidRDefault="00000000">
      <w:pPr>
        <w:pStyle w:val="FootnoteText"/>
      </w:pPr>
      <w:bookmarkStart w:id="106" w:name="_Ref_Footnote_90"/>
      <w:r>
        <w:rPr>
          <w:rStyle w:val="FootnoteReference"/>
        </w:rPr>
        <w:footnoteRef/>
      </w:r>
      <w:r>
        <w:t xml:space="preserve"> AWISEE — "20+ Creator Economy Statistics for 2025" (2025-12-26). https://awisee.com/blog/creator-economy-statistics/</w:t>
      </w:r>
      <w:bookmarkEnd w:id="106"/>
    </w:p>
  </w:footnote>
  <w:footnote w:id="91">
    <w:p w14:paraId="77216D08" w14:textId="77777777" w:rsidR="00085C05" w:rsidRDefault="00000000">
      <w:pPr>
        <w:pStyle w:val="FootnoteText"/>
      </w:pPr>
      <w:bookmarkStart w:id="107" w:name="_Ref_Footnote_91"/>
      <w:r>
        <w:rPr>
          <w:rStyle w:val="FootnoteReference"/>
        </w:rPr>
        <w:footnoteRef/>
      </w:r>
      <w:r>
        <w:t xml:space="preserve"> Grand View Research — "Creator Economy Market Report 2033" (09-06-2026). https://www.grandviewresearch.com/industry-analysis/creator-economy-market-report</w:t>
      </w:r>
      <w:bookmarkEnd w:id="107"/>
    </w:p>
  </w:footnote>
  <w:footnote w:id="92">
    <w:p w14:paraId="5860C97C" w14:textId="77777777" w:rsidR="00085C05" w:rsidRDefault="00000000">
      <w:pPr>
        <w:pStyle w:val="FootnoteText"/>
      </w:pPr>
      <w:bookmarkStart w:id="108" w:name="_Ref_Footnote_92"/>
      <w:r>
        <w:rPr>
          <w:rStyle w:val="FootnoteReference"/>
        </w:rPr>
        <w:footnoteRef/>
      </w:r>
      <w:r>
        <w:t xml:space="preserve"> Presenc AI — "Creator Economy Market Size (2026)" (27-05-2026). https://presenc.ai/research/creator-economy-market-size-2026</w:t>
      </w:r>
      <w:bookmarkEnd w:id="108"/>
    </w:p>
  </w:footnote>
  <w:footnote w:id="93">
    <w:p w14:paraId="141E8460" w14:textId="77777777" w:rsidR="00085C05" w:rsidRDefault="00000000">
      <w:pPr>
        <w:pStyle w:val="FootnoteText"/>
      </w:pPr>
      <w:bookmarkStart w:id="109" w:name="_Ref_Footnote_93"/>
      <w:r>
        <w:rPr>
          <w:rStyle w:val="FootnoteReference"/>
        </w:rPr>
        <w:footnoteRef/>
      </w:r>
      <w:r>
        <w:t xml:space="preserve"> Kindlepreneur — "Sudowrite Review: The Good, the Bad, and the Weird Parts" (2026-06-13). https://kindlepreneur.com/sudowrite-review/</w:t>
      </w:r>
      <w:bookmarkEnd w:id="109"/>
    </w:p>
  </w:footnote>
  <w:footnote w:id="94">
    <w:p w14:paraId="71C900AF" w14:textId="77777777" w:rsidR="00085C05" w:rsidRDefault="00000000">
      <w:pPr>
        <w:pStyle w:val="FootnoteText"/>
      </w:pPr>
      <w:bookmarkStart w:id="111" w:name="_Ref_Footnote_94"/>
      <w:r>
        <w:rPr>
          <w:rStyle w:val="FootnoteReference"/>
        </w:rPr>
        <w:footnoteRef/>
      </w:r>
      <w:r>
        <w:t xml:space="preserve"> CreativIndie — "Atticus vs Vellum vs Scrivener: 2026 Comparison" (30-06-2026). https://www.creativindie.com/atticus-book-formatting-tool-better-than-scrivener-vellum/</w:t>
      </w:r>
      <w:bookmarkEnd w:id="111"/>
    </w:p>
  </w:footnote>
  <w:footnote w:id="95">
    <w:p w14:paraId="472C210D" w14:textId="77777777" w:rsidR="00085C05" w:rsidRDefault="00000000">
      <w:pPr>
        <w:pStyle w:val="FootnoteText"/>
      </w:pPr>
      <w:bookmarkStart w:id="112" w:name="_Ref_Footnote_95"/>
      <w:r>
        <w:rPr>
          <w:rStyle w:val="FootnoteReference"/>
        </w:rPr>
        <w:footnoteRef/>
      </w:r>
      <w:r>
        <w:t xml:space="preserve"> Kajabi Help — "What is Kajabi" (2026-05-21). https://help.kajabi.com/articles/resources/resources/what-is-kajabi</w:t>
      </w:r>
      <w:bookmarkEnd w:id="112"/>
    </w:p>
  </w:footnote>
  <w:footnote w:id="96">
    <w:p w14:paraId="02FCC3B9" w14:textId="77777777" w:rsidR="00085C05" w:rsidRDefault="00000000">
      <w:pPr>
        <w:pStyle w:val="FootnoteText"/>
      </w:pPr>
      <w:bookmarkStart w:id="116" w:name="_Ref_Footnote_96"/>
      <w:r>
        <w:rPr>
          <w:rStyle w:val="FootnoteReference"/>
        </w:rPr>
        <w:footnoteRef/>
      </w:r>
      <w:r>
        <w:t xml:space="preserve"> Word-2-Kindle — "Amazon Book Formatting Service — Kindle + KDP Print" (2026). https://word-2-kindle.com/amazon-book-formatting/</w:t>
      </w:r>
      <w:bookmarkEnd w:id="116"/>
    </w:p>
  </w:footnote>
  <w:footnote w:id="97">
    <w:p w14:paraId="35ED3513" w14:textId="77777777" w:rsidR="00085C05" w:rsidRDefault="00000000">
      <w:pPr>
        <w:pStyle w:val="FootnoteText"/>
      </w:pPr>
      <w:bookmarkStart w:id="117" w:name="_Ref_Footnote_97"/>
      <w:r>
        <w:rPr>
          <w:rStyle w:val="FootnoteReference"/>
        </w:rPr>
        <w:footnoteRef/>
      </w:r>
      <w:r>
        <w:t xml:space="preserve"> KDPFormatter — "To Hire or Not to Hire: The Real Cost of Book Formatting" (nov 2023). https://kdpformatter.com/blog/diy-formatting-vs-professional/</w:t>
      </w:r>
      <w:bookmarkEnd w:id="117"/>
    </w:p>
  </w:footnote>
  <w:footnote w:id="98">
    <w:p w14:paraId="6819DB77" w14:textId="77777777" w:rsidR="00085C05" w:rsidRDefault="00000000">
      <w:pPr>
        <w:pStyle w:val="FootnoteText"/>
      </w:pPr>
      <w:bookmarkStart w:id="118" w:name="_Ref_Footnote_98"/>
      <w:r>
        <w:rPr>
          <w:rStyle w:val="FootnoteReference"/>
        </w:rPr>
        <w:footnoteRef/>
      </w:r>
      <w:r>
        <w:t xml:space="preserve"> Valentina Truneanu — "Cómo crear un índice en Word para un eBook" (entrada con 81 comentarios de autores). https://www.valentinatruneanu.com/crear-un-indice-en-word/</w:t>
      </w:r>
      <w:bookmarkEnd w:id="118"/>
    </w:p>
  </w:footnote>
  <w:footnote w:id="99">
    <w:p w14:paraId="4305529A" w14:textId="77777777" w:rsidR="00085C05" w:rsidRDefault="00000000">
      <w:pPr>
        <w:pStyle w:val="FootnoteText"/>
      </w:pPr>
      <w:bookmarkStart w:id="119" w:name="_Ref_Footnote_99"/>
      <w:r>
        <w:rPr>
          <w:rStyle w:val="FootnoteReference"/>
        </w:rPr>
        <w:footnoteRef/>
      </w:r>
      <w:r>
        <w:t xml:space="preserve"> Jeremy Shapiro — "Vellum vs. Atticus for Non-Fiction Interior Book Design" (jun 2025, act. oct 2025). https://www.jeremyshapiro.com/2025/06/vellum-vs-atticus-for-non-fiction-interior-book-design/</w:t>
      </w:r>
      <w:bookmarkEnd w:id="119"/>
    </w:p>
  </w:footnote>
  <w:footnote w:id="100">
    <w:p w14:paraId="3E3EA6C7" w14:textId="77777777" w:rsidR="00085C05" w:rsidRDefault="00000000">
      <w:pPr>
        <w:pStyle w:val="FootnoteText"/>
      </w:pPr>
      <w:bookmarkStart w:id="120" w:name="_Ref_Footnote_100"/>
      <w:r>
        <w:rPr>
          <w:rStyle w:val="FootnoteReference"/>
        </w:rPr>
        <w:footnoteRef/>
      </w:r>
      <w:r>
        <w:t xml:space="preserve"> Author Media (Thomas Umstattd / Bryan) — "How to Format a Book With Vellum" (jun 2026). https://www.authormedia.com/how-to-format-a-book-with-vellum/</w:t>
      </w:r>
      <w:bookmarkEnd w:id="120"/>
    </w:p>
  </w:footnote>
  <w:footnote w:id="101">
    <w:p w14:paraId="0490E90D" w14:textId="77777777" w:rsidR="00085C05" w:rsidRDefault="00000000">
      <w:pPr>
        <w:pStyle w:val="FootnoteText"/>
      </w:pPr>
      <w:bookmarkStart w:id="121" w:name="_Ref_Footnote_101"/>
      <w:r>
        <w:rPr>
          <w:rStyle w:val="FootnoteReference"/>
        </w:rPr>
        <w:footnoteRef/>
      </w:r>
      <w:r>
        <w:t xml:space="preserve"> Sitejabber — Designrr Reviews, 1.8★ (reviews 2020–2024). (espejo:. https://www.sitejabber.com/reviews/designrr.io</w:t>
      </w:r>
      <w:bookmarkEnd w:id="121"/>
    </w:p>
  </w:footnote>
  <w:footnote w:id="102">
    <w:p w14:paraId="46495982" w14:textId="77777777" w:rsidR="00085C05" w:rsidRDefault="00000000">
      <w:pPr>
        <w:pStyle w:val="FootnoteText"/>
      </w:pPr>
      <w:bookmarkStart w:id="122" w:name="_Ref_Footnote_102"/>
      <w:r>
        <w:rPr>
          <w:rStyle w:val="FootnoteReference"/>
        </w:rPr>
        <w:footnoteRef/>
      </w:r>
      <w:r>
        <w:t xml:space="preserve"> Reedsy Studio — "Atticus Review: Is It Worth The Money?" (ago 2025). https://reedsy.com/studio/resources/atticus-review/</w:t>
      </w:r>
      <w:bookmarkEnd w:id="122"/>
    </w:p>
  </w:footnote>
  <w:footnote w:id="103">
    <w:p w14:paraId="06FBBC80" w14:textId="77777777" w:rsidR="00085C05" w:rsidRDefault="00000000">
      <w:pPr>
        <w:pStyle w:val="FootnoteText"/>
      </w:pPr>
      <w:bookmarkStart w:id="123" w:name="_Ref_Footnote_103"/>
      <w:r>
        <w:rPr>
          <w:rStyle w:val="FootnoteReference"/>
        </w:rPr>
        <w:footnoteRef/>
      </w:r>
      <w:r>
        <w:t xml:space="preserve"> Built&amp;Written — "Vellum 2026 Review" / "Vellum Software for Coaches in 2026" (2026). ·. https://www.builtwritten.com/blog/vellum-2026</w:t>
      </w:r>
      <w:bookmarkEnd w:id="123"/>
    </w:p>
  </w:footnote>
  <w:footnote w:id="104">
    <w:p w14:paraId="027B400A" w14:textId="77777777" w:rsidR="00085C05" w:rsidRDefault="00000000">
      <w:pPr>
        <w:pStyle w:val="FootnoteText"/>
      </w:pPr>
      <w:bookmarkStart w:id="124" w:name="_Ref_Footnote_104"/>
      <w:r>
        <w:rPr>
          <w:rStyle w:val="FootnoteReference"/>
        </w:rPr>
        <w:footnoteRef/>
      </w:r>
      <w:r>
        <w:t xml:space="preserve"> HMD Publishing — "EPUB Validator for US Authors" (ene 2026). https://hmdpublishing.com/education/tools/epub-validator/us</w:t>
      </w:r>
      <w:bookmarkEnd w:id="124"/>
    </w:p>
  </w:footnote>
  <w:footnote w:id="105">
    <w:p w14:paraId="4D546253" w14:textId="77777777" w:rsidR="00085C05" w:rsidRDefault="00000000">
      <w:pPr>
        <w:pStyle w:val="FootnoteText"/>
      </w:pPr>
      <w:bookmarkStart w:id="125" w:name="_Ref_Footnote_105"/>
      <w:r>
        <w:rPr>
          <w:rStyle w:val="FootnoteReference"/>
        </w:rPr>
        <w:footnoteRef/>
      </w:r>
      <w:r>
        <w:t xml:space="preserve"> GitHub jgm/pandoc issue #9469 — "ePub v2 fails validation with ePubCheck in pandoc 3.1.12" (feb 2024). https://github.com/jgm/pandoc/issues/9469</w:t>
      </w:r>
      <w:bookmarkEnd w:id="125"/>
    </w:p>
  </w:footnote>
  <w:footnote w:id="106">
    <w:p w14:paraId="394CE7D1" w14:textId="77777777" w:rsidR="00085C05" w:rsidRDefault="00000000">
      <w:pPr>
        <w:pStyle w:val="FootnoteText"/>
      </w:pPr>
      <w:bookmarkStart w:id="126" w:name="_Ref_Footnote_106"/>
      <w:r>
        <w:rPr>
          <w:rStyle w:val="FootnoteReference"/>
        </w:rPr>
        <w:footnoteRef/>
      </w:r>
      <w:r>
        <w:t xml:space="preserve"> Literature &amp; Latte Forums — "Compile as epub error" (may 2024). https://forum.literatureandlatte.com/t/compile-as-epub-error/140668</w:t>
      </w:r>
      <w:bookmarkEnd w:id="126"/>
    </w:p>
  </w:footnote>
  <w:footnote w:id="107">
    <w:p w14:paraId="5666095A" w14:textId="77777777" w:rsidR="00085C05" w:rsidRDefault="00000000">
      <w:pPr>
        <w:pStyle w:val="FootnoteText"/>
      </w:pPr>
      <w:bookmarkStart w:id="127" w:name="_Ref_Footnote_107"/>
      <w:r>
        <w:rPr>
          <w:rStyle w:val="FootnoteReference"/>
        </w:rPr>
        <w:footnoteRef/>
      </w:r>
      <w:r>
        <w:t xml:space="preserve"> Creativindie — "Is Vellum Worth it? (best book formatting software for PC or Mac)" (2026). https://www.creativindie.com/is-vellum-worth-it-review-best-book-formatting-software-for-pc-or-mac/</w:t>
      </w:r>
      <w:bookmarkEnd w:id="127"/>
    </w:p>
  </w:footnote>
  <w:footnote w:id="108">
    <w:p w14:paraId="2381A607" w14:textId="77777777" w:rsidR="00085C05" w:rsidRDefault="00000000">
      <w:pPr>
        <w:pStyle w:val="FootnoteText"/>
      </w:pPr>
      <w:bookmarkStart w:id="128" w:name="_Ref_Footnote_108"/>
      <w:r>
        <w:rPr>
          <w:rStyle w:val="FootnoteReference"/>
        </w:rPr>
        <w:footnoteRef/>
      </w:r>
      <w:r>
        <w:t xml:space="preserve"> KBoards — "MacinCloud and Vellum Question" (abr 2017). https://www.kboards.com/threads/macincloud-and-vellum-question.250200/</w:t>
      </w:r>
      <w:bookmarkEnd w:id="128"/>
    </w:p>
  </w:footnote>
  <w:footnote w:id="109">
    <w:p w14:paraId="3FCB1656" w14:textId="77777777" w:rsidR="00085C05" w:rsidRDefault="00000000">
      <w:pPr>
        <w:pStyle w:val="FootnoteText"/>
      </w:pPr>
      <w:bookmarkStart w:id="129" w:name="_Ref_Footnote_109"/>
      <w:r>
        <w:rPr>
          <w:rStyle w:val="FootnoteReference"/>
        </w:rPr>
        <w:footnoteRef/>
      </w:r>
      <w:r>
        <w:t xml:space="preserve"> Vellum Help — "Using Vellum on Windows" (oficial). https://help.vellum.pub/guides/using-on-windows/</w:t>
      </w:r>
      <w:bookmarkEnd w:id="129"/>
    </w:p>
  </w:footnote>
  <w:footnote w:id="110">
    <w:p w14:paraId="6D24B921" w14:textId="77777777" w:rsidR="00085C05" w:rsidRDefault="00000000">
      <w:pPr>
        <w:pStyle w:val="FootnoteText"/>
      </w:pPr>
      <w:bookmarkStart w:id="133" w:name="_Ref_Footnote_110"/>
      <w:r>
        <w:rPr>
          <w:rStyle w:val="FootnoteReference"/>
        </w:rPr>
        <w:footnoteRef/>
      </w:r>
      <w:r>
        <w:t xml:space="preserve"> Audrey Driscoll's Blog — posts sobre correcciones post-publicación en KDP (2023–2026). https://audreydriscoll.com/tag/amazon-kdp/</w:t>
      </w:r>
      <w:bookmarkEnd w:id="133"/>
    </w:p>
  </w:footnote>
  <w:footnote w:id="111">
    <w:p w14:paraId="34DF29AA" w14:textId="77777777" w:rsidR="00085C05" w:rsidRDefault="00000000">
      <w:pPr>
        <w:pStyle w:val="FootnoteText"/>
      </w:pPr>
      <w:bookmarkStart w:id="134" w:name="_Ref_Footnote_111"/>
      <w:r>
        <w:rPr>
          <w:rStyle w:val="FootnoteReference"/>
        </w:rPr>
        <w:footnoteRef/>
      </w:r>
      <w:r>
        <w:t xml:space="preserve"> KDP Community — "How long for book updates (corrected typos, etc.) to appear…" (ago 2023). https://www.kdpcommunity.com/s/question/0D58V00007tilU6SAI/</w:t>
      </w:r>
      <w:bookmarkEnd w:id="134"/>
    </w:p>
  </w:footnote>
  <w:footnote w:id="112">
    <w:p w14:paraId="704E3034" w14:textId="77777777" w:rsidR="00085C05" w:rsidRDefault="00000000">
      <w:pPr>
        <w:pStyle w:val="FootnoteText"/>
      </w:pPr>
      <w:bookmarkStart w:id="136" w:name="_Ref_Footnote_112"/>
      <w:r>
        <w:rPr>
          <w:rStyle w:val="FootnoteReference"/>
        </w:rPr>
        <w:footnoteRef/>
      </w:r>
      <w:r>
        <w:t xml:space="preserve"> Kindlepreneur — "Atticus Review" (incluye roadmap: version history, plotting) (2026). https://kindlepreneur.com/atticus-review/</w:t>
      </w:r>
      <w:bookmarkEnd w:id="136"/>
    </w:p>
  </w:footnote>
  <w:footnote w:id="113">
    <w:p w14:paraId="029C25BE" w14:textId="77777777" w:rsidR="00085C05" w:rsidRDefault="00000000">
      <w:pPr>
        <w:pStyle w:val="FootnoteText"/>
      </w:pPr>
      <w:bookmarkStart w:id="139" w:name="_Ref_Footnote_113"/>
      <w:r>
        <w:rPr>
          <w:rStyle w:val="FootnoteReference"/>
        </w:rPr>
        <w:footnoteRef/>
      </w:r>
      <w:r>
        <w:t xml:space="preserve"> ManuscriptReport — "AI in Publishing: 2026 Statistics &amp; Primary Sources" (BookBub may-2025 n=1.229; Authors Guild dic-2023; BookNet×BISG abr-2026; NBER w34777) (21-05-2026). https://manuscriptreport.com/data/ai-publishing-statistics</w:t>
      </w:r>
      <w:bookmarkEnd w:id="139"/>
    </w:p>
  </w:footnote>
  <w:footnote w:id="114">
    <w:p w14:paraId="3B609E66" w14:textId="77777777" w:rsidR="00085C05" w:rsidRDefault="00000000">
      <w:pPr>
        <w:pStyle w:val="FootnoteText"/>
      </w:pPr>
      <w:bookmarkStart w:id="140" w:name="_Ref_Footnote_114"/>
      <w:r>
        <w:rPr>
          <w:rStyle w:val="FootnoteReference"/>
        </w:rPr>
        <w:footnoteRef/>
      </w:r>
      <w:r>
        <w:t xml:space="preserve"> Publishers Weekly — "New Report Examines Writers' Attitudes toward AI" (Gotham Ghostwriters/Bernoff, nov 2025). https://www.publishersweekly.com/pw/by-topic/digital/copyright/article/99019-new-report-examines-writers-attitudes-toward-ai.html</w:t>
      </w:r>
      <w:bookmarkEnd w:id="140"/>
    </w:p>
  </w:footnote>
  <w:footnote w:id="115">
    <w:p w14:paraId="04A987A0" w14:textId="77777777" w:rsidR="00085C05" w:rsidRDefault="00000000">
      <w:pPr>
        <w:pStyle w:val="FootnoteText"/>
      </w:pPr>
      <w:bookmarkStart w:id="141" w:name="_Ref_Footnote_115"/>
      <w:r>
        <w:rPr>
          <w:rStyle w:val="FootnoteReference"/>
        </w:rPr>
        <w:footnoteRef/>
      </w:r>
      <w:r>
        <w:t xml:space="preserve"> Authors A.I. — "How Authors Are Really Using AI" (BookBub may-2025) (26-09-2025). https://authors.ai/how-authors-are-really-using-ai/</w:t>
      </w:r>
      <w:bookmarkEnd w:id="141"/>
    </w:p>
  </w:footnote>
  <w:footnote w:id="116">
    <w:p w14:paraId="76C4C410" w14:textId="77777777" w:rsidR="00085C05" w:rsidRDefault="00000000">
      <w:pPr>
        <w:pStyle w:val="FootnoteText"/>
      </w:pPr>
      <w:bookmarkStart w:id="143" w:name="_Ref_Footnote_116"/>
      <w:r>
        <w:rPr>
          <w:rStyle w:val="FootnoteReference"/>
        </w:rPr>
        <w:footnoteRef/>
      </w:r>
      <w:r>
        <w:t xml:space="preserve"> AIPolicyDesk — "Amazon KDP AI Disclosure: Policy &amp; Decision Flowchart (2026)" (11-07-2026). https://www.aipolicydesk.com/blog/amazon-kdp-ai-disclosure-compliance-guide-2026</w:t>
      </w:r>
      <w:bookmarkEnd w:id="143"/>
    </w:p>
  </w:footnote>
  <w:footnote w:id="117">
    <w:p w14:paraId="75A289D4" w14:textId="77777777" w:rsidR="00085C05" w:rsidRDefault="00000000">
      <w:pPr>
        <w:pStyle w:val="FootnoteText"/>
      </w:pPr>
      <w:bookmarkStart w:id="144" w:name="_Ref_Footnote_117"/>
      <w:r>
        <w:rPr>
          <w:rStyle w:val="FootnoteReference"/>
        </w:rPr>
        <w:footnoteRef/>
      </w:r>
      <w:r>
        <w:t xml:space="preserve"> Inkrify — "Amazon KDP AI Content Policy 2026: Disclosure Checklist" (10-07-2026). https://inkrify.com/blog/staying-compliant-with-amazon-kdp-ai-content-policy-in-2026/</w:t>
      </w:r>
      <w:bookmarkEnd w:id="144"/>
    </w:p>
  </w:footnote>
  <w:footnote w:id="118">
    <w:p w14:paraId="778E7922" w14:textId="77777777" w:rsidR="00085C05" w:rsidRDefault="00000000">
      <w:pPr>
        <w:pStyle w:val="FootnoteText"/>
      </w:pPr>
      <w:bookmarkStart w:id="147" w:name="_Ref_Footnote_118"/>
      <w:r>
        <w:rPr>
          <w:rStyle w:val="FootnoteReference"/>
        </w:rPr>
        <w:footnoteRef/>
      </w:r>
      <w:r>
        <w:t xml:space="preserve"> La Paseata — cita de "El español en el mundo 2024. Anuario del Instituto Cervantes" (02-11-2025). https://lapaseata.net/2025/11/02/entrevista-a-don-miguel-de-cervantes/</w:t>
      </w:r>
      <w:bookmarkEnd w:id="147"/>
    </w:p>
  </w:footnote>
  <w:footnote w:id="119">
    <w:p w14:paraId="2FC9F594" w14:textId="77777777" w:rsidR="00085C05" w:rsidRDefault="00000000">
      <w:pPr>
        <w:pStyle w:val="FootnoteText"/>
      </w:pPr>
      <w:bookmarkStart w:id="148" w:name="_Ref_Footnote_119"/>
      <w:r>
        <w:rPr>
          <w:rStyle w:val="FootnoteReference"/>
        </w:rPr>
        <w:footnoteRef/>
      </w:r>
      <w:r>
        <w:t xml:space="preserve"> Valor de Cambio / Bookwire — "Evolución del negocio del libro digital y el audiolibro en español en 2024" (07-06-2025). https://valordecambio.com/informe-bookwire-evolucion-del-negocio-del-libro-digital-y-el-audiolibro-en-espanol-en-2024/</w:t>
      </w:r>
      <w:bookmarkEnd w:id="148"/>
    </w:p>
  </w:footnote>
  <w:footnote w:id="120">
    <w:p w14:paraId="71DEFBB7" w14:textId="77777777" w:rsidR="00085C05" w:rsidRDefault="00000000">
      <w:pPr>
        <w:pStyle w:val="FootnoteText"/>
      </w:pPr>
      <w:bookmarkStart w:id="149" w:name="_Ref_Footnote_120"/>
      <w:r>
        <w:rPr>
          <w:rStyle w:val="FootnoteReference"/>
        </w:rPr>
        <w:footnoteRef/>
      </w:r>
      <w:r>
        <w:t xml:space="preserve"> Editores Madrid / FGEE — "El sector editorial recupera los 3.000 millones de facturación" (Comercio Interior del Libro 2024) (02-12-2025). https://editoresmadrid.org/el-sector-editorial-recupera-los-3-000-millones-de-facturacion-previos-a-la-crisis-de-2008/</w:t>
      </w:r>
      <w:bookmarkEnd w:id="149"/>
    </w:p>
  </w:footnote>
  <w:footnote w:id="121">
    <w:p w14:paraId="126B8A3A" w14:textId="77777777" w:rsidR="00085C05" w:rsidRDefault="00000000">
      <w:pPr>
        <w:pStyle w:val="FootnoteText"/>
      </w:pPr>
      <w:bookmarkStart w:id="150" w:name="_Ref_Footnote_121"/>
      <w:r>
        <w:rPr>
          <w:rStyle w:val="FootnoteReference"/>
        </w:rPr>
        <w:footnoteRef/>
      </w:r>
      <w:r>
        <w:t xml:space="preserve"> BestWriting — "50 Ebook Statistics for 2026" (07-06-2026). https://bestwriting.com/ebook-statistics</w:t>
      </w:r>
      <w:bookmarkEnd w:id="150"/>
    </w:p>
  </w:footnote>
  <w:footnote w:id="122">
    <w:p w14:paraId="42A29887" w14:textId="77777777" w:rsidR="00085C05" w:rsidRDefault="00000000">
      <w:pPr>
        <w:pStyle w:val="FootnoteText"/>
      </w:pPr>
      <w:bookmarkStart w:id="151" w:name="_Ref_Footnote_122"/>
      <w:r>
        <w:rPr>
          <w:rStyle w:val="FootnoteReference"/>
        </w:rPr>
        <w:footnoteRef/>
      </w:r>
      <w:r>
        <w:t xml:space="preserve"> Canvas Business Model — "Hotmart BCG Matrix Analysis" (15-07-2025). https://canvasbusinessmodel.com/products/hotmart-bcg-matrix</w:t>
      </w:r>
      <w:bookmarkEnd w:id="151"/>
    </w:p>
  </w:footnote>
  <w:footnote w:id="123">
    <w:p w14:paraId="72C25B7D" w14:textId="77777777" w:rsidR="00085C05" w:rsidRDefault="00000000">
      <w:pPr>
        <w:pStyle w:val="FootnoteText"/>
      </w:pPr>
      <w:bookmarkStart w:id="152" w:name="_Ref_Footnote_123"/>
      <w:r>
        <w:rPr>
          <w:rStyle w:val="FootnoteReference"/>
        </w:rPr>
        <w:footnoteRef/>
      </w:r>
      <w:r>
        <w:t xml:space="preserve"> ReglaDeTres — "Cómo publicar en Amazon KDP sin errores: diseño, maquetación y portada" (abr 2026). https://regladetres.es/errores-autopublicar-amazon-kdp/</w:t>
      </w:r>
      <w:bookmarkEnd w:id="152"/>
    </w:p>
  </w:footnote>
  <w:footnote w:id="124">
    <w:p w14:paraId="253CD28F" w14:textId="77777777" w:rsidR="00085C05" w:rsidRDefault="00000000">
      <w:pPr>
        <w:pStyle w:val="FootnoteText"/>
      </w:pPr>
      <w:bookmarkStart w:id="153" w:name="_Ref_Footnote_124"/>
      <w:r>
        <w:rPr>
          <w:rStyle w:val="FootnoteReference"/>
        </w:rPr>
        <w:footnoteRef/>
      </w:r>
      <w:r>
        <w:t xml:space="preserve"> About Amazon España — "Lectura y escritura: una parte esencial de Amazon" (26-02-2024). https://www.aboutamazon.es/noticias/libros-y-autores/lectura-y-escritura-una-parte-esencial-de-amazon</w:t>
      </w:r>
      <w:bookmarkEnd w:id="153"/>
    </w:p>
  </w:footnote>
  <w:footnote w:id="125">
    <w:p w14:paraId="29666D13" w14:textId="77777777" w:rsidR="00085C05" w:rsidRDefault="00000000">
      <w:pPr>
        <w:pStyle w:val="FootnoteText"/>
      </w:pPr>
      <w:bookmarkStart w:id="163" w:name="_Ref_Footnote_125"/>
      <w:r>
        <w:rPr>
          <w:rStyle w:val="FootnoteReference"/>
        </w:rPr>
        <w:footnoteRef/>
      </w:r>
      <w:r>
        <w:t xml:space="preserve"> *Learning Typst — References and cross-references* (GitHub, lars-derichter/learning-typst-book). (consultado jul 2026). https://github.com/lars-derichter/learning-typst-book/blob/main/book/11-references-and-cross-references.md</w:t>
      </w:r>
      <w:bookmarkEnd w:id="163"/>
    </w:p>
  </w:footnote>
  <w:footnote w:id="126">
    <w:p w14:paraId="5973436C" w14:textId="77777777" w:rsidR="00085C05" w:rsidRDefault="00000000">
      <w:pPr>
        <w:pStyle w:val="FootnoteText"/>
      </w:pPr>
      <w:bookmarkStart w:id="164" w:name="_Ref_Footnote_126"/>
      <w:r>
        <w:rPr>
          <w:rStyle w:val="FootnoteReference"/>
        </w:rPr>
        <w:footnoteRef/>
      </w:r>
      <w:r>
        <w:t xml:space="preserve"> AllAboutAI — "Best AI Writing Tools for EBooks" (agrega citas de r/KDP y r/selfpublishing, oct 2025). https://www.allaboutai.com/best-ai-tools/writing/e-books/</w:t>
      </w:r>
      <w:bookmarkEnd w:id="164"/>
    </w:p>
  </w:footnote>
  <w:footnote w:id="127">
    <w:p w14:paraId="35EE780D" w14:textId="77777777" w:rsidR="00085C05" w:rsidRDefault="00000000">
      <w:pPr>
        <w:pStyle w:val="FootnoteText"/>
      </w:pPr>
      <w:bookmarkStart w:id="167" w:name="_Ref_Footnote_127"/>
      <w:r>
        <w:rPr>
          <w:rStyle w:val="FootnoteReference"/>
        </w:rPr>
        <w:footnoteRef/>
      </w:r>
      <w:r>
        <w:t xml:space="preserve"> Typst Docs — *Accessibility Guide* (PDF/UA-1, EAA, ADA). (consultado jul 2026). https://typst.app/docs/guides/accessibility/</w:t>
      </w:r>
      <w:bookmarkEnd w:id="167"/>
    </w:p>
  </w:footnote>
  <w:footnote w:id="128">
    <w:p w14:paraId="18806131" w14:textId="77777777" w:rsidR="00085C05" w:rsidRDefault="00000000">
      <w:pPr>
        <w:pStyle w:val="FootnoteText"/>
      </w:pPr>
      <w:bookmarkStart w:id="168" w:name="_Ref_Footnote_128"/>
      <w:r>
        <w:rPr>
          <w:rStyle w:val="FootnoteReference"/>
        </w:rPr>
        <w:footnoteRef/>
      </w:r>
      <w:r>
        <w:t xml:space="preserve"> Typst GitHub — Issue #2393 *Performance – Investigation &amp; Tracking*. (consultado jul 2026). https://github.com/typst/typst/issues/2393</w:t>
      </w:r>
      <w:bookmarkEnd w:id="168"/>
    </w:p>
  </w:footnote>
  <w:footnote w:id="129">
    <w:p w14:paraId="101D5FCF" w14:textId="77777777" w:rsidR="00085C05" w:rsidRDefault="00000000">
      <w:pPr>
        <w:pStyle w:val="FootnoteText"/>
      </w:pPr>
      <w:bookmarkStart w:id="171" w:name="_Ref_Footnote_129"/>
      <w:r>
        <w:rPr>
          <w:rStyle w:val="FootnoteReference"/>
        </w:rPr>
        <w:footnoteRef/>
      </w:r>
      <w:r>
        <w:t xml:space="preserve"> LitReactor — "The 9 Best Writing Tools for 2026" (ene 2026). https://litreactor.com/columns/the-9-best-writing-tools-for-2026/</w:t>
      </w:r>
      <w:bookmarkEnd w:id="171"/>
    </w:p>
  </w:footnote>
  <w:footnote w:id="130">
    <w:p w14:paraId="51F134DB" w14:textId="77777777" w:rsidR="00085C05" w:rsidRDefault="00000000">
      <w:pPr>
        <w:pStyle w:val="FootnoteText"/>
      </w:pPr>
      <w:bookmarkStart w:id="172" w:name="_Ref_Footnote_130"/>
      <w:r>
        <w:rPr>
          <w:rStyle w:val="FootnoteReference"/>
        </w:rPr>
        <w:footnoteRef/>
      </w:r>
      <w:r>
        <w:t xml:space="preserve"> Pandoc — README (arquitectura readers/AST/writers, pérdidas). (consultado jul 2026). https://github.com/jgm/pandoc/blob/main/README.md</w:t>
      </w:r>
      <w:bookmarkEnd w:id="172"/>
    </w:p>
  </w:footnote>
  <w:footnote w:id="131">
    <w:p w14:paraId="2D85994A" w14:textId="77777777" w:rsidR="00085C05" w:rsidRDefault="00000000">
      <w:pPr>
        <w:pStyle w:val="FootnoteText"/>
      </w:pPr>
      <w:bookmarkStart w:id="174" w:name="_Ref_Footnote_131"/>
      <w:r>
        <w:rPr>
          <w:rStyle w:val="FootnoteReference"/>
        </w:rPr>
        <w:footnoteRef/>
      </w:r>
      <w:r>
        <w:t xml:space="preserve"> SFU Summit (tesis) — workflow editorial y accesibilidad, conversión PDF→EPUB y language tagging post-typesetting (2026). https://summit.sfu.ca/_flysystem/fedora/2026-02/etd24149.pdf</w:t>
      </w:r>
      <w:bookmarkEnd w:id="174"/>
    </w:p>
  </w:footnote>
  <w:footnote w:id="132">
    <w:p w14:paraId="79567CA7" w14:textId="77777777" w:rsidR="00085C05" w:rsidRDefault="00000000">
      <w:pPr>
        <w:pStyle w:val="FootnoteText"/>
      </w:pPr>
      <w:bookmarkStart w:id="175" w:name="_Ref_Footnote_132"/>
      <w:r>
        <w:rPr>
          <w:rStyle w:val="FootnoteReference"/>
        </w:rPr>
        <w:footnoteRef/>
      </w:r>
      <w:r>
        <w:t xml:space="preserve"> Markua Spec / Manual. y (consultado jul 2026). https://markua.com/</w:t>
      </w:r>
      <w:bookmarkEnd w:id="175"/>
    </w:p>
  </w:footnote>
  <w:footnote w:id="133">
    <w:p w14:paraId="05F90B88" w14:textId="77777777" w:rsidR="00085C05" w:rsidRDefault="00000000">
      <w:pPr>
        <w:pStyle w:val="FootnoteText"/>
      </w:pPr>
      <w:bookmarkStart w:id="177" w:name="_Ref_Footnote_133"/>
      <w:r>
        <w:rPr>
          <w:rStyle w:val="FootnoteReference"/>
        </w:rPr>
        <w:footnoteRef/>
      </w:r>
      <w:r>
        <w:t xml:space="preserve"> Doppio — *CSS Paged Media vs Paged.js* (soporte nativo Chrome 131+ vs gaps). (consultado jul 2026). https://doppio.sh/guide/css-paged-media-vs-pagedjs</w:t>
      </w:r>
      <w:bookmarkEnd w:id="177"/>
    </w:p>
  </w:footnote>
  <w:footnote w:id="134">
    <w:p w14:paraId="3E3C136F" w14:textId="77777777" w:rsidR="00085C05" w:rsidRDefault="00000000">
      <w:pPr>
        <w:pStyle w:val="FootnoteText"/>
      </w:pPr>
      <w:bookmarkStart w:id="178" w:name="_Ref_Footnote_134"/>
      <w:r>
        <w:rPr>
          <w:rStyle w:val="FootnoteReference"/>
        </w:rPr>
        <w:footnoteRef/>
      </w:r>
      <w:r>
        <w:t xml:space="preserve"> Paged.js GitHub — Issue #269 (error con Tailwind 4, v0.4.3, feb 2025). (consultado jul 2026). https://github.com/pagedjs/pagedjs/issues/269</w:t>
      </w:r>
      <w:bookmarkEnd w:id="178"/>
    </w:p>
  </w:footnote>
  <w:footnote w:id="135">
    <w:p w14:paraId="21C2578D" w14:textId="77777777" w:rsidR="00085C05" w:rsidRDefault="00000000">
      <w:pPr>
        <w:pStyle w:val="FootnoteText"/>
      </w:pPr>
      <w:bookmarkStart w:id="179" w:name="_Ref_Footnote_135"/>
      <w:r>
        <w:rPr>
          <w:rStyle w:val="FootnoteReference"/>
        </w:rPr>
        <w:footnoteRef/>
      </w:r>
      <w:r>
        <w:t xml:space="preserve"> NLnet (2025) — proyecto Vivliostyle (Core, CLI, Pub; grant). y (consultado jul 2026). https://nlnet.nl/project/Vivliostyle/</w:t>
      </w:r>
      <w:bookmarkEnd w:id="179"/>
    </w:p>
  </w:footnote>
  <w:footnote w:id="136">
    <w:p w14:paraId="37A587FA" w14:textId="77777777" w:rsidR="00085C05" w:rsidRDefault="00000000">
      <w:pPr>
        <w:pStyle w:val="FootnoteText"/>
      </w:pPr>
      <w:bookmarkStart w:id="180" w:name="_Ref_Footnote_136"/>
      <w:r>
        <w:rPr>
          <w:rStyle w:val="FootnoteReference"/>
        </w:rPr>
        <w:footnoteRef/>
      </w:r>
      <w:r>
        <w:t xml:space="preserve"> pdf4.dev (2026) — *Playwright vs WeasyPrint* (arquitectura, paged media sin JS). (consultado jul 2026). https://pdf4.dev/blog/playwright-vs-weasyprint</w:t>
      </w:r>
      <w:bookmarkEnd w:id="180"/>
    </w:p>
  </w:footnote>
  <w:footnote w:id="137">
    <w:p w14:paraId="645E4DCC" w14:textId="77777777" w:rsidR="00085C05" w:rsidRDefault="00000000">
      <w:pPr>
        <w:pStyle w:val="FootnoteText"/>
      </w:pPr>
      <w:bookmarkStart w:id="183" w:name="_Ref_Footnote_137"/>
      <w:r>
        <w:rPr>
          <w:rStyle w:val="FootnoteReference"/>
        </w:rPr>
        <w:footnoteRef/>
      </w:r>
      <w:r>
        <w:t xml:space="preserve"> htdocs.dev (feb 2026) — *The Modern Python Data Stack in 2026* (Quarto: formatos, brand.yml, freeze). (consultado jul 2026). https://htdocs.dev/posts/the-modern-python-data-stack-in-2026/</w:t>
      </w:r>
      <w:bookmarkEnd w:id="183"/>
    </w:p>
  </w:footnote>
  <w:footnote w:id="138">
    <w:p w14:paraId="10DB6BFF" w14:textId="77777777" w:rsidR="00085C05" w:rsidRDefault="00000000">
      <w:pPr>
        <w:pStyle w:val="FootnoteText"/>
      </w:pPr>
      <w:bookmarkStart w:id="187" w:name="_Ref_Footnote_138"/>
      <w:r>
        <w:rPr>
          <w:rStyle w:val="FootnoteReference"/>
        </w:rPr>
        <w:footnoteRef/>
      </w:r>
      <w:r>
        <w:t xml:space="preserve"> Docusaurus Docs — *Versioning*. (consultado jul 2026). https://docusaurus.io/docs/versioning</w:t>
      </w:r>
      <w:bookmarkEnd w:id="187"/>
    </w:p>
  </w:footnote>
  <w:footnote w:id="139">
    <w:p w14:paraId="4CCAC3CB" w14:textId="77777777" w:rsidR="00085C05" w:rsidRDefault="00000000">
      <w:pPr>
        <w:pStyle w:val="FootnoteText"/>
      </w:pPr>
      <w:bookmarkStart w:id="188" w:name="_Ref_Footnote_139"/>
      <w:r>
        <w:rPr>
          <w:rStyle w:val="FootnoteReference"/>
        </w:rPr>
        <w:footnoteRef/>
      </w:r>
      <w:r>
        <w:t xml:space="preserve"> Infrasity (nov 2025) — *Mintlify vs GitBook* (versionado manual, build opaco). (consultado jul 2026). https://www.infrasity.com/blog/mintlify-vs-gitbook</w:t>
      </w:r>
      <w:bookmarkEnd w:id="188"/>
    </w:p>
  </w:footnote>
  <w:footnote w:id="140">
    <w:p w14:paraId="19C61864" w14:textId="77777777" w:rsidR="00085C05" w:rsidRDefault="00000000">
      <w:pPr>
        <w:pStyle w:val="FootnoteText"/>
      </w:pPr>
      <w:bookmarkStart w:id="189" w:name="_Ref_Footnote_140"/>
      <w:r>
        <w:rPr>
          <w:rStyle w:val="FootnoteReference"/>
        </w:rPr>
        <w:footnoteRef/>
      </w:r>
      <w:r>
        <w:t xml:space="preserve"> Teachable — "How to Create and Sell Digital Downloads" (s/f). https://www.teachable.com/digital-downloads</w:t>
      </w:r>
      <w:bookmarkEnd w:id="189"/>
    </w:p>
  </w:footnote>
  <w:footnote w:id="141">
    <w:p w14:paraId="5FA27F68" w14:textId="77777777" w:rsidR="00085C05" w:rsidRDefault="00000000">
      <w:pPr>
        <w:pStyle w:val="FootnoteText"/>
      </w:pPr>
      <w:bookmarkStart w:id="197" w:name="_Ref_Footnote_141"/>
      <w:r>
        <w:rPr>
          <w:rStyle w:val="FootnoteReference"/>
        </w:rPr>
        <w:footnoteRef/>
      </w:r>
      <w:r>
        <w:t xml:space="preserve"> Kindlepreneur — "Vellum Review: Why I Used to Recommend It (But No Longer Do)" (abr 2026). https://kindlepreneur.com/vellum-software-review/</w:t>
      </w:r>
      <w:bookmarkEnd w:id="197"/>
    </w:p>
  </w:footnote>
  <w:footnote w:id="142">
    <w:p w14:paraId="77FE92C4" w14:textId="77777777" w:rsidR="00085C05" w:rsidRDefault="00000000">
      <w:pPr>
        <w:pStyle w:val="FootnoteText"/>
      </w:pPr>
      <w:bookmarkStart w:id="198" w:name="_Ref_Footnote_142"/>
      <w:r>
        <w:rPr>
          <w:rStyle w:val="FootnoteReference"/>
        </w:rPr>
        <w:footnoteRef/>
      </w:r>
      <w:r>
        <w:t xml:space="preserve"> PaperTrue — "10 Best Self-Publishing Companies of 2025" (2025-08-01). https://www.papertrue.com/blog/top-self-publishing-companies/</w:t>
      </w:r>
      <w:bookmarkEnd w:id="198"/>
    </w:p>
  </w:footnote>
  <w:footnote w:id="143">
    <w:p w14:paraId="7C516F2C" w14:textId="77777777" w:rsidR="00085C05" w:rsidRDefault="00000000">
      <w:pPr>
        <w:pStyle w:val="FootnoteText"/>
      </w:pPr>
      <w:bookmarkStart w:id="199" w:name="_Ref_Footnote_143"/>
      <w:r>
        <w:rPr>
          <w:rStyle w:val="FootnoteReference"/>
        </w:rPr>
        <w:footnoteRef/>
      </w:r>
      <w:r>
        <w:t xml:space="preserve"> Mariana Eguaras — "Guía para señalar correcciones en PDF sin errores ni confusiones" (oct 2025). https://marianaeguaras.com/guia-para-senalar-correcciones-en-pdf-sin-errores-ni-confusiones/</w:t>
      </w:r>
      <w:bookmarkEnd w:id="199"/>
    </w:p>
  </w:footnote>
  <w:footnote w:id="144">
    <w:p w14:paraId="5B22E27E" w14:textId="77777777" w:rsidR="00085C05" w:rsidRDefault="00000000">
      <w:pPr>
        <w:pStyle w:val="FootnoteText"/>
      </w:pPr>
      <w:bookmarkStart w:id="200" w:name="_Ref_Footnote_144"/>
      <w:r>
        <w:rPr>
          <w:rStyle w:val="FootnoteReference"/>
        </w:rPr>
        <w:footnoteRef/>
      </w:r>
      <w:r>
        <w:t xml:space="preserve"> Typst — Pricing (Free / Pro 7,99 $ / On-Premises; 3.500 universidades, 1.000 empresas). (consultado jul 2026). https://typst.app/pricing/</w:t>
      </w:r>
      <w:bookmarkEnd w:id="200"/>
    </w:p>
  </w:footnote>
  <w:footnote w:id="145">
    <w:p w14:paraId="6457F12F" w14:textId="77777777" w:rsidR="00085C05" w:rsidRDefault="00000000">
      <w:pPr>
        <w:pStyle w:val="FootnoteText"/>
      </w:pPr>
      <w:bookmarkStart w:id="201" w:name="_Ref_Footnote_145"/>
      <w:r>
        <w:rPr>
          <w:rStyle w:val="FootnoteReference"/>
        </w:rPr>
        <w:footnoteRef/>
      </w:r>
      <w:r>
        <w:t xml:space="preserve"> saastechnews.com (2026) — GitBook pricing Premium 65 $/sitio + 12 $/usuario. (consultado jul 2026). https://www.saastechnews.com/roundups/best-knowledge-base-software-for-internal-teams</w:t>
      </w:r>
      <w:bookmarkEnd w:id="201"/>
    </w:p>
  </w:footnote>
  <w:footnote w:id="146">
    <w:p w14:paraId="1CCC8A1E" w14:textId="77777777" w:rsidR="00085C05" w:rsidRDefault="00000000">
      <w:pPr>
        <w:pStyle w:val="FootnoteText"/>
      </w:pPr>
      <w:bookmarkStart w:id="203" w:name="_Ref_Footnote_146"/>
      <w:r>
        <w:rPr>
          <w:rStyle w:val="FootnoteReference"/>
        </w:rPr>
        <w:footnoteRef/>
      </w:r>
      <w:r>
        <w:t xml:space="preserve"> Typst — README (principios: consistency, composability, incrementality). (consultado jul 2026). https://github.com/typst/typst/blob/main/README.md</w:t>
      </w:r>
      <w:bookmarkEnd w:id="203"/>
    </w:p>
  </w:footnote>
  <w:footnote w:id="147">
    <w:p w14:paraId="6DDB65E8" w14:textId="77777777" w:rsidR="00085C05" w:rsidRDefault="00000000">
      <w:pPr>
        <w:pStyle w:val="FootnoteText"/>
      </w:pPr>
      <w:bookmarkStart w:id="206" w:name="_Ref_Footnote_147"/>
      <w:r>
        <w:rPr>
          <w:rStyle w:val="FootnoteReference"/>
        </w:rPr>
        <w:footnoteRef/>
      </w:r>
      <w:r>
        <w:t xml:space="preserve"> QWE.edu.pl — "How to Create Audiobooks with AI Voice [2026 Tested]" (2026-03-26). https://www.qwe.edu.pl/tutorial/how-to-create-audiobooks-with-ai-voice/</w:t>
      </w:r>
      <w:bookmarkEnd w:id="206"/>
    </w:p>
  </w:footnote>
  <w:footnote w:id="148">
    <w:p w14:paraId="14E15A4A" w14:textId="77777777" w:rsidR="00085C05" w:rsidRDefault="00000000">
      <w:pPr>
        <w:pStyle w:val="FootnoteText"/>
      </w:pPr>
      <w:bookmarkStart w:id="212" w:name="_Ref_Footnote_148"/>
      <w:r>
        <w:rPr>
          <w:rStyle w:val="FootnoteReference"/>
        </w:rPr>
        <w:footnoteRef/>
      </w:r>
      <w:r>
        <w:t xml:space="preserve"> Whop — "100+ Ebook statistics for 2026" (18-06-2025). https://whop.com/blog/ebook-statistics/</w:t>
      </w:r>
      <w:bookmarkEnd w:id="212"/>
    </w:p>
  </w:footnote>
  <w:footnote w:id="149">
    <w:p w14:paraId="245176AB" w14:textId="77777777" w:rsidR="00085C05" w:rsidRDefault="00000000">
      <w:pPr>
        <w:pStyle w:val="FootnoteText"/>
      </w:pPr>
      <w:bookmarkStart w:id="214" w:name="_Ref_Footnote_149"/>
      <w:r>
        <w:rPr>
          <w:rStyle w:val="FootnoteReference"/>
        </w:rPr>
        <w:footnoteRef/>
      </w:r>
      <w:r>
        <w:t xml:space="preserve"> EbookPbook — "Vellum Alternatives for PC" (29-05-2026). https://www.ebookpbook.com/2026/04/08/vellum-alternatives-book-formatting-pc/</w:t>
      </w:r>
      <w:bookmarkEnd w:id="214"/>
    </w:p>
  </w:footnote>
  <w:footnote w:id="150">
    <w:p w14:paraId="644230EC" w14:textId="77777777" w:rsidR="00085C05" w:rsidRDefault="00000000">
      <w:pPr>
        <w:pStyle w:val="FootnoteText"/>
      </w:pPr>
      <w:bookmarkStart w:id="218" w:name="_Ref_Footnote_150"/>
      <w:r>
        <w:rPr>
          <w:rStyle w:val="FootnoteReference"/>
        </w:rPr>
        <w:footnoteRef/>
      </w:r>
      <w:r>
        <w:t xml:space="preserve"> Books.by — "How Much Does It Cost to Self-Publish a Book?" (15-01-2026). https://books.by/guides/self-publishing-costs</w:t>
      </w:r>
      <w:bookmarkEnd w:id="218"/>
    </w:p>
  </w:footnote>
  <w:footnote w:id="151">
    <w:p w14:paraId="5A5BAD6B" w14:textId="77777777" w:rsidR="00085C05" w:rsidRDefault="00000000">
      <w:pPr>
        <w:pStyle w:val="FootnoteText"/>
      </w:pPr>
      <w:bookmarkStart w:id="223" w:name="_Ref_Footnote_151"/>
      <w:r>
        <w:rPr>
          <w:rStyle w:val="FootnoteReference"/>
        </w:rPr>
        <w:footnoteRef/>
      </w:r>
      <w:r>
        <w:t xml:space="preserve"> Literature &amp; Latte Forums — "This software is inscrutable and damn near unusable" (mar 2024). https://forum.literatureandlatte.com/t/this-software-is-inscrutable-and-damn-near-unusable/139718</w:t>
      </w:r>
      <w:bookmarkEnd w:id="22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4F3D" w14:textId="77777777" w:rsidR="00E7578D" w:rsidRDefault="00E757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D92E" w14:textId="77777777" w:rsidR="00E7578D" w:rsidRDefault="00E757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FA09" w14:textId="77777777" w:rsidR="00E7578D" w:rsidRDefault="00E75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828D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7029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5C05"/>
    <w:rsid w:val="00085C05"/>
    <w:rsid w:val="0089233B"/>
    <w:rsid w:val="00E7578D"/>
    <w:rsid w:val="00ED229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C94A"/>
  <w15:docId w15:val="{F500875E-835D-4D01-A2FB-7B7D54FFE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7578D"/>
    <w:pPr>
      <w:tabs>
        <w:tab w:val="center" w:pos="4252"/>
        <w:tab w:val="right" w:pos="8504"/>
      </w:tabs>
      <w:spacing w:after="0"/>
    </w:pPr>
  </w:style>
  <w:style w:type="character" w:customStyle="1" w:styleId="HeaderChar">
    <w:name w:val="Header Char"/>
    <w:basedOn w:val="DefaultParagraphFont"/>
    <w:link w:val="Header"/>
    <w:rsid w:val="00E75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6</TotalTime>
  <Pages>30</Pages>
  <Words>21376</Words>
  <Characters>117574</Characters>
  <Application>Microsoft Office Word</Application>
  <DocSecurity>0</DocSecurity>
  <Lines>979</Lines>
  <Paragraphs>277</Paragraphs>
  <ScaleCrop>false</ScaleCrop>
  <Company/>
  <LinksUpToDate>false</LinksUpToDate>
  <CharactersWithSpaces>138673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BALLESTEROS ALONSO, ANTONIO</cp:lastModifiedBy>
  <cp:revision>2</cp:revision>
  <dcterms:created xsi:type="dcterms:W3CDTF">2026-08-04T01:39:00Z</dcterms:created>
  <dcterms:modified xsi:type="dcterms:W3CDTF">2026-08-04T04:15:00Z</dcterms:modified>
</cp:coreProperties>
</file>