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FB43D" w14:textId="77777777" w:rsidR="00A658E5" w:rsidRPr="000949E9" w:rsidRDefault="00A658E5" w:rsidP="000949E9">
      <w:pPr>
        <w:pStyle w:val="Title"/>
        <w:rPr>
          <w:sz w:val="48"/>
          <w:szCs w:val="48"/>
        </w:rPr>
      </w:pPr>
      <w:bookmarkStart w:id="0" w:name="_Toc169275820"/>
      <w:r w:rsidRPr="000949E9">
        <w:rPr>
          <w:sz w:val="48"/>
          <w:szCs w:val="48"/>
        </w:rPr>
        <w:t xml:space="preserve">Report simulazione – </w:t>
      </w:r>
      <w:r w:rsidRPr="000949E9">
        <w:rPr>
          <w:sz w:val="48"/>
          <w:szCs w:val="48"/>
          <w:highlight w:val="yellow"/>
        </w:rPr>
        <w:t>&lt;</w:t>
      </w:r>
      <w:proofErr w:type="spellStart"/>
      <w:r w:rsidRPr="000949E9">
        <w:rPr>
          <w:sz w:val="48"/>
          <w:szCs w:val="48"/>
          <w:highlight w:val="yellow"/>
        </w:rPr>
        <w:t>localita</w:t>
      </w:r>
      <w:proofErr w:type="spellEnd"/>
      <w:r w:rsidRPr="000949E9">
        <w:rPr>
          <w:sz w:val="48"/>
          <w:szCs w:val="48"/>
          <w:highlight w:val="yellow"/>
        </w:rPr>
        <w:t>&gt;</w:t>
      </w:r>
      <w:r w:rsidRPr="000949E9">
        <w:rPr>
          <w:sz w:val="48"/>
          <w:szCs w:val="48"/>
        </w:rPr>
        <w:t xml:space="preserve"> Italia</w:t>
      </w:r>
    </w:p>
    <w:p w14:paraId="06EB3CC4" w14:textId="4AD60D4C" w:rsidR="00762052" w:rsidRPr="000949E9" w:rsidRDefault="00762052" w:rsidP="000949E9">
      <w:pPr>
        <w:pStyle w:val="Heading1"/>
        <w:numPr>
          <w:ilvl w:val="0"/>
          <w:numId w:val="4"/>
        </w:numPr>
        <w:rPr>
          <w:color w:val="215E99" w:themeColor="text2" w:themeTint="BF"/>
        </w:rPr>
      </w:pPr>
      <w:r w:rsidRPr="000949E9">
        <w:rPr>
          <w:color w:val="215E99" w:themeColor="text2" w:themeTint="BF"/>
        </w:rPr>
        <w:t>Dati di input della simulazione</w:t>
      </w:r>
      <w:bookmarkEnd w:id="0"/>
    </w:p>
    <w:p w14:paraId="4BC926C8" w14:textId="55BE5D09" w:rsidR="00762052" w:rsidRPr="00F71114" w:rsidRDefault="00762052" w:rsidP="00A658E5">
      <w:r w:rsidRPr="00F71114">
        <w:t xml:space="preserve">Si </w:t>
      </w:r>
      <w:r w:rsidR="002736A8" w:rsidRPr="00F71114">
        <w:t>sono esplorati</w:t>
      </w:r>
      <w:r w:rsidRPr="00F71114">
        <w:t xml:space="preserve"> scenari </w:t>
      </w:r>
      <w:r w:rsidR="002736A8" w:rsidRPr="00F71114">
        <w:t xml:space="preserve">di investimento </w:t>
      </w:r>
      <w:r w:rsidRPr="00F71114">
        <w:t>del seguente tipo:</w:t>
      </w:r>
    </w:p>
    <w:p w14:paraId="7EE1A1FE" w14:textId="19D7150E" w:rsidR="00762052" w:rsidRPr="00F71114" w:rsidRDefault="00762052" w:rsidP="00A658E5">
      <w:pPr>
        <w:pStyle w:val="ListParagraph"/>
        <w:numPr>
          <w:ilvl w:val="0"/>
          <w:numId w:val="10"/>
        </w:numPr>
      </w:pPr>
      <w:r w:rsidRPr="00A658E5">
        <w:rPr>
          <w:b/>
          <w:bCs/>
        </w:rPr>
        <w:t>Business As Usual (BAU):</w:t>
      </w:r>
      <w:r w:rsidRPr="00F71114">
        <w:t xml:space="preserve"> l’impresa continua a consumare energia come consumatore passivo, senza investire in un impianto fotovoltaico per l’autoconsumo diretto e senza entrare in una configurazione di autoconsumo </w:t>
      </w:r>
      <w:r w:rsidR="00BD4C4A">
        <w:t>diffuso</w:t>
      </w:r>
      <w:r w:rsidRPr="00F71114">
        <w:t xml:space="preserve">. Questo </w:t>
      </w:r>
      <w:r w:rsidR="00BD4C4A">
        <w:t>caso</w:t>
      </w:r>
      <w:r w:rsidRPr="00F71114">
        <w:t xml:space="preserve"> rappresenta la condizione di riferimento per valutare </w:t>
      </w:r>
      <w:r w:rsidR="00BD4C4A">
        <w:t xml:space="preserve">i casi </w:t>
      </w:r>
      <w:r w:rsidRPr="00F71114">
        <w:t>successivi.</w:t>
      </w:r>
    </w:p>
    <w:p w14:paraId="7E98FE88" w14:textId="284ABE44" w:rsidR="00762052" w:rsidRPr="00F71114" w:rsidRDefault="00762052" w:rsidP="00A658E5">
      <w:pPr>
        <w:pStyle w:val="ListParagraph"/>
        <w:numPr>
          <w:ilvl w:val="0"/>
          <w:numId w:val="10"/>
        </w:numPr>
      </w:pPr>
      <w:r w:rsidRPr="00A658E5">
        <w:rPr>
          <w:b/>
          <w:bCs/>
        </w:rPr>
        <w:t>CER</w:t>
      </w:r>
      <w:r w:rsidRPr="00F71114">
        <w:t xml:space="preserve">: l’impresa </w:t>
      </w:r>
      <w:r w:rsidR="00B0736C" w:rsidRPr="00F71114">
        <w:t xml:space="preserve">entra in una </w:t>
      </w:r>
      <w:r w:rsidRPr="00F71114">
        <w:t xml:space="preserve">Comunità Energetica Rinnovabile </w:t>
      </w:r>
      <w:r w:rsidR="00B0736C" w:rsidRPr="00F71114">
        <w:t>come utente consumatore,</w:t>
      </w:r>
      <w:r w:rsidRPr="00F71114">
        <w:t xml:space="preserve"> accedendo agli schemi di incentivazione in conto esercizio nelle modalità previste dal DM CACER e dalle Regole Operative GSE.</w:t>
      </w:r>
      <w:r w:rsidR="00B0736C" w:rsidRPr="00F71114">
        <w:t xml:space="preserve"> L’impianto fotovoltaico della Comunità è realizzato </w:t>
      </w:r>
      <w:r w:rsidR="006F0FB3" w:rsidRPr="00F71114">
        <w:t xml:space="preserve">come investimento comune insieme </w:t>
      </w:r>
      <w:r w:rsidR="00BD4C4A">
        <w:t xml:space="preserve">a una (o più) altre aziende </w:t>
      </w:r>
      <w:r w:rsidR="00B0736C" w:rsidRPr="00F71114">
        <w:t xml:space="preserve">di simili dimensioni e finalizzato </w:t>
      </w:r>
      <w:r w:rsidR="006F0FB3" w:rsidRPr="00F71114">
        <w:t>all’immissione totale</w:t>
      </w:r>
      <w:r w:rsidR="00B0736C" w:rsidRPr="00F71114">
        <w:t xml:space="preserve"> in rete</w:t>
      </w:r>
      <w:r w:rsidR="006F0FB3" w:rsidRPr="00F71114">
        <w:t xml:space="preserve"> dell’energia prodotta, con incentivazione relativa alla quota condivisa </w:t>
      </w:r>
    </w:p>
    <w:p w14:paraId="1B2083F9" w14:textId="58E9B3F1" w:rsidR="00762052" w:rsidRPr="00F71114" w:rsidRDefault="00762052" w:rsidP="00A658E5">
      <w:pPr>
        <w:pStyle w:val="ListParagraph"/>
        <w:numPr>
          <w:ilvl w:val="0"/>
          <w:numId w:val="10"/>
        </w:numPr>
      </w:pPr>
      <w:r w:rsidRPr="00A658E5">
        <w:rPr>
          <w:b/>
          <w:bCs/>
        </w:rPr>
        <w:t>CER PNRR</w:t>
      </w:r>
      <w:r w:rsidRPr="00F71114">
        <w:t xml:space="preserve">: Rappresenta il caso CER ipotizzando l’accesso al contributo in conto capitale con fondi PNRR pari al massimale del 40% con conseguente decurtazione della tariffa premio incentivante del 50%. Si ipotizza che l’impianto </w:t>
      </w:r>
      <w:r w:rsidR="006F0FB3" w:rsidRPr="00F71114">
        <w:t xml:space="preserve">comunitario </w:t>
      </w:r>
      <w:r w:rsidRPr="00F71114">
        <w:t xml:space="preserve">sia </w:t>
      </w:r>
      <w:r w:rsidR="0064318C">
        <w:t>localizzato</w:t>
      </w:r>
      <w:r w:rsidR="0064318C" w:rsidRPr="00383E59">
        <w:t xml:space="preserve"> </w:t>
      </w:r>
      <w:r w:rsidRPr="00F71114">
        <w:t>in</w:t>
      </w:r>
      <w:r w:rsidR="00A3162D">
        <w:t xml:space="preserve"> un</w:t>
      </w:r>
      <w:r w:rsidRPr="00F71114">
        <w:t xml:space="preserve"> comune sotto i 5.000 abitanti e che rispetti tutti requisiti e modalità previsti del DM CACER e Regole Operative del GSE.</w:t>
      </w:r>
    </w:p>
    <w:p w14:paraId="5842E63D" w14:textId="5B10963D" w:rsidR="00046EA2" w:rsidRPr="00F71114" w:rsidRDefault="00046EA2" w:rsidP="00A658E5">
      <w:r w:rsidRPr="00F71114">
        <w:t>Per quanto riguarda gli scenari con impianto fotovoltaico, la taglia di potenza è stimata da considerazioni di tipo energetico ed economico con scopo esplorativo</w:t>
      </w:r>
      <w:r w:rsidR="00BD4C4A">
        <w:t xml:space="preserve"> </w:t>
      </w:r>
      <w:bookmarkStart w:id="1" w:name="_Hlk190874815"/>
      <w:r w:rsidR="00BD4C4A">
        <w:t>ed esemplificativo</w:t>
      </w:r>
      <w:bookmarkEnd w:id="1"/>
      <w:r w:rsidRPr="00F71114">
        <w:t>, in questo caso non oggetto di ottimizzazione.</w:t>
      </w:r>
    </w:p>
    <w:p w14:paraId="083103D1" w14:textId="1D41FB7D" w:rsidR="00046EA2" w:rsidRPr="008D747D" w:rsidRDefault="008D747D" w:rsidP="008D74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D747D">
        <w:rPr>
          <w:highlight w:val="yellow"/>
        </w:rPr>
        <w:t>&lt;</w:t>
      </w:r>
      <w:proofErr w:type="spellStart"/>
      <w:r w:rsidRPr="008D747D">
        <w:rPr>
          <w:highlight w:val="yellow"/>
        </w:rPr>
        <w:t>immagine_membri</w:t>
      </w:r>
      <w:proofErr w:type="spellEnd"/>
      <w:r w:rsidRPr="008D747D">
        <w:rPr>
          <w:highlight w:val="yellow"/>
        </w:rPr>
        <w:t>&gt;</w:t>
      </w:r>
    </w:p>
    <w:p w14:paraId="44DB9AAA" w14:textId="37C9570E" w:rsidR="00A658E5" w:rsidRPr="00240BAE" w:rsidRDefault="00A658E5" w:rsidP="00A658E5">
      <w:pPr>
        <w:jc w:val="center"/>
        <w:rPr>
          <w:sz w:val="12"/>
          <w:szCs w:val="12"/>
        </w:rPr>
      </w:pPr>
      <w:proofErr w:type="gramStart"/>
      <w:r w:rsidRPr="00240BAE">
        <w:rPr>
          <w:sz w:val="14"/>
          <w:szCs w:val="14"/>
        </w:rPr>
        <w:t>Copyright</w:t>
      </w:r>
      <w:proofErr w:type="gramEnd"/>
      <w:r w:rsidRPr="00240BAE">
        <w:rPr>
          <w:sz w:val="14"/>
          <w:szCs w:val="14"/>
        </w:rPr>
        <w:t xml:space="preserve"> icone: flaticon.com</w:t>
      </w:r>
    </w:p>
    <w:p w14:paraId="570954BC" w14:textId="44E72FD6" w:rsidR="00F755B4" w:rsidRPr="00A658E5" w:rsidRDefault="00BD4C4A" w:rsidP="00A658E5">
      <w:pPr>
        <w:rPr>
          <w:b/>
          <w:bCs/>
        </w:rPr>
      </w:pPr>
      <w:r w:rsidRPr="00762052">
        <w:t>La simulazione è svolta utilizzando i dati di irraggiamento</w:t>
      </w:r>
      <w:r w:rsidRPr="00BE3305">
        <w:t xml:space="preserve"> </w:t>
      </w:r>
      <w:r w:rsidRPr="00F71114">
        <w:t xml:space="preserve">di una latitudine </w:t>
      </w:r>
      <w:r>
        <w:t xml:space="preserve">rappresentativa del </w:t>
      </w:r>
      <w:r w:rsidRPr="00667CB4">
        <w:rPr>
          <w:highlight w:val="yellow"/>
        </w:rPr>
        <w:t>&lt;</w:t>
      </w:r>
      <w:proofErr w:type="spellStart"/>
      <w:r w:rsidRPr="00667CB4">
        <w:rPr>
          <w:highlight w:val="yellow"/>
        </w:rPr>
        <w:t>localita</w:t>
      </w:r>
      <w:proofErr w:type="spellEnd"/>
      <w:r w:rsidRPr="00667CB4">
        <w:rPr>
          <w:highlight w:val="yellow"/>
        </w:rPr>
        <w:t>&gt;</w:t>
      </w:r>
      <w:r w:rsidRPr="00667CB4">
        <w:t xml:space="preserve"> Italia</w:t>
      </w:r>
      <w:r w:rsidRPr="00762052">
        <w:t xml:space="preserve"> e un orizzonte temporale pari a </w:t>
      </w:r>
      <w:r w:rsidRPr="002736A8">
        <w:rPr>
          <w:b/>
          <w:bCs/>
        </w:rPr>
        <w:t>2</w:t>
      </w:r>
      <w:r>
        <w:rPr>
          <w:b/>
          <w:bCs/>
        </w:rPr>
        <w:t>0</w:t>
      </w:r>
      <w:r w:rsidRPr="002736A8">
        <w:rPr>
          <w:b/>
          <w:bCs/>
        </w:rPr>
        <w:t xml:space="preserve"> anni</w:t>
      </w:r>
      <w:r>
        <w:rPr>
          <w:b/>
          <w:bCs/>
        </w:rPr>
        <w:t xml:space="preserve">, </w:t>
      </w:r>
      <w:r>
        <w:t>ipotizzato come la vita utile dei componenti dell’impianto e della CER</w:t>
      </w:r>
      <w:r w:rsidRPr="00762052">
        <w:t xml:space="preserve">. </w:t>
      </w:r>
      <w:r w:rsidR="00F755B4" w:rsidRPr="00F71114">
        <w:t xml:space="preserve"> Sebbene infatti gli incentivi terminino allo scadere del ventesimo anno, la valorizzazione Arera</w:t>
      </w:r>
      <w:r w:rsidR="00A658E5">
        <w:t xml:space="preserve"> e</w:t>
      </w:r>
      <w:r w:rsidR="00F755B4" w:rsidRPr="00F71114">
        <w:t xml:space="preserve"> il Ritiro Dedicato</w:t>
      </w:r>
      <w:r>
        <w:t xml:space="preserve"> </w:t>
      </w:r>
      <w:r w:rsidR="00F755B4" w:rsidRPr="00F71114">
        <w:t>si applicano oltre tale scadenza, fino alla dismissione dell’impianto.</w:t>
      </w:r>
    </w:p>
    <w:p w14:paraId="61C4AF98" w14:textId="73F5741E" w:rsidR="002736A8" w:rsidRPr="00F71114" w:rsidRDefault="002736A8" w:rsidP="00A658E5">
      <w:r w:rsidRPr="00F71114">
        <w:t xml:space="preserve">Il finanziamento </w:t>
      </w:r>
      <w:r w:rsidR="00BD4C4A">
        <w:t>dell’impianto</w:t>
      </w:r>
      <w:r w:rsidRPr="00F71114">
        <w:t xml:space="preserve"> è </w:t>
      </w:r>
      <w:r w:rsidR="005C10EC" w:rsidRPr="00F71114">
        <w:t>equamente ripartito tra</w:t>
      </w:r>
      <w:r w:rsidR="00BD4C4A">
        <w:t xml:space="preserve"> tutte le </w:t>
      </w:r>
      <w:r w:rsidR="00E50025" w:rsidRPr="00F71114">
        <w:t>utenz</w:t>
      </w:r>
      <w:r w:rsidR="005C10EC" w:rsidRPr="00F71114">
        <w:t>e</w:t>
      </w:r>
      <w:r w:rsidRPr="00F71114">
        <w:t xml:space="preserve"> industrial</w:t>
      </w:r>
      <w:r w:rsidR="005C10EC" w:rsidRPr="00F71114">
        <w:t xml:space="preserve">i consumer, </w:t>
      </w:r>
      <w:r w:rsidR="00BD4C4A">
        <w:t xml:space="preserve">ipotizzando realizzato </w:t>
      </w:r>
      <w:r w:rsidR="000949E9">
        <w:t>su una</w:t>
      </w:r>
      <w:r w:rsidR="00BD4C4A">
        <w:t xml:space="preserve"> superficie di tetto nella disponibilità di una delle aziende e messa a disposizione della CER gratuitamente.</w:t>
      </w:r>
    </w:p>
    <w:p w14:paraId="68716BF8" w14:textId="5F1D5728" w:rsidR="00046EA2" w:rsidRPr="000949E9" w:rsidRDefault="00046EA2" w:rsidP="000949E9">
      <w:pPr>
        <w:pStyle w:val="Heading2"/>
        <w:rPr>
          <w:color w:val="215E99" w:themeColor="text2" w:themeTint="BF"/>
        </w:rPr>
      </w:pPr>
      <w:r w:rsidRPr="000949E9">
        <w:rPr>
          <w:color w:val="215E99" w:themeColor="text2" w:themeTint="BF"/>
        </w:rPr>
        <w:t xml:space="preserve">Dati di input </w:t>
      </w:r>
      <w:proofErr w:type="spellStart"/>
      <w:r w:rsidRPr="000949E9">
        <w:rPr>
          <w:color w:val="215E99" w:themeColor="text2" w:themeTint="BF"/>
        </w:rPr>
        <w:t>della</w:t>
      </w:r>
      <w:proofErr w:type="spellEnd"/>
      <w:r w:rsidRPr="000949E9">
        <w:rPr>
          <w:color w:val="215E99" w:themeColor="text2" w:themeTint="BF"/>
        </w:rPr>
        <w:t xml:space="preserve"> </w:t>
      </w:r>
      <w:proofErr w:type="spellStart"/>
      <w:r w:rsidRPr="000949E9">
        <w:rPr>
          <w:color w:val="215E99" w:themeColor="text2" w:themeTint="BF"/>
        </w:rPr>
        <w:t>simulazione</w:t>
      </w:r>
      <w:proofErr w:type="spellEnd"/>
      <w:r w:rsidRPr="000949E9">
        <w:rPr>
          <w:color w:val="215E99" w:themeColor="text2" w:themeTint="BF"/>
        </w:rPr>
        <w:t xml:space="preserve"> con CER</w:t>
      </w:r>
    </w:p>
    <w:p w14:paraId="144CA5AF" w14:textId="2CAF7804" w:rsidR="0049764D" w:rsidRPr="00A658E5" w:rsidRDefault="002736A8" w:rsidP="00A658E5">
      <w:r w:rsidRPr="00A658E5">
        <w:t xml:space="preserve">Negli scenari con CER, questa è costituita da </w:t>
      </w:r>
      <w:r w:rsidR="00240BAE" w:rsidRPr="00A6597B">
        <w:rPr>
          <w:highlight w:val="yellow"/>
        </w:rPr>
        <w:t>&lt;</w:t>
      </w:r>
      <w:r w:rsidR="00240BAE" w:rsidRPr="00240BAE">
        <w:rPr>
          <w:highlight w:val="yellow"/>
        </w:rPr>
        <w:t>num_consumer</w:t>
      </w:r>
      <w:r w:rsidR="00240BAE" w:rsidRPr="00A6597B">
        <w:rPr>
          <w:highlight w:val="yellow"/>
        </w:rPr>
        <w:t>&gt;</w:t>
      </w:r>
      <w:r w:rsidR="00240BAE">
        <w:t xml:space="preserve"> </w:t>
      </w:r>
      <w:r w:rsidRPr="00A658E5">
        <w:t>uten</w:t>
      </w:r>
      <w:r w:rsidR="005C10EC" w:rsidRPr="00A658E5">
        <w:t>ze industriali che lavorano su</w:t>
      </w:r>
      <w:r w:rsidR="00A658E5">
        <w:t xml:space="preserve"> un numero di turni pari a</w:t>
      </w:r>
      <w:r w:rsidR="005C10EC" w:rsidRPr="00A658E5">
        <w:t xml:space="preserve"> </w:t>
      </w:r>
      <w:r w:rsidR="00A658E5" w:rsidRPr="00A6597B">
        <w:rPr>
          <w:highlight w:val="yellow"/>
        </w:rPr>
        <w:t>&lt;n_turni&gt;</w:t>
      </w:r>
      <w:r w:rsidR="005C10EC" w:rsidRPr="00A658E5">
        <w:t xml:space="preserve">, con consumi annuali di </w:t>
      </w:r>
      <w:r w:rsidR="00A658E5">
        <w:rPr>
          <w:highlight w:val="yellow"/>
        </w:rPr>
        <w:t>&lt;</w:t>
      </w:r>
      <w:proofErr w:type="spellStart"/>
      <w:r w:rsidR="00A658E5">
        <w:rPr>
          <w:highlight w:val="yellow"/>
        </w:rPr>
        <w:t>consumi_annui</w:t>
      </w:r>
      <w:proofErr w:type="spellEnd"/>
      <w:r w:rsidR="00A658E5" w:rsidRPr="004A2457">
        <w:rPr>
          <w:highlight w:val="yellow"/>
        </w:rPr>
        <w:t>&gt;</w:t>
      </w:r>
      <w:r w:rsidR="00A658E5">
        <w:t xml:space="preserve"> </w:t>
      </w:r>
      <w:r w:rsidR="005C10EC" w:rsidRPr="00A658E5">
        <w:t>MWh/anno</w:t>
      </w:r>
      <w:r w:rsidR="006B65DA">
        <w:t xml:space="preserve"> ciascuna</w:t>
      </w:r>
      <w:r w:rsidR="005C10EC" w:rsidRPr="00A658E5">
        <w:t>.</w:t>
      </w:r>
    </w:p>
    <w:p w14:paraId="38E3C442" w14:textId="0626ED76" w:rsidR="00753225" w:rsidRPr="00A658E5" w:rsidRDefault="005C10EC" w:rsidP="00A658E5">
      <w:r w:rsidRPr="00A658E5">
        <w:t xml:space="preserve">L’impianto utilizzato per questo studio ha una capacità pari a </w:t>
      </w:r>
      <w:r w:rsidR="00A658E5" w:rsidRPr="00A658E5">
        <w:rPr>
          <w:highlight w:val="yellow"/>
        </w:rPr>
        <w:t>&lt;pv_tot_CER&gt;</w:t>
      </w:r>
      <w:r w:rsidR="00A658E5" w:rsidRPr="00A658E5">
        <w:t xml:space="preserve"> </w:t>
      </w:r>
      <w:r w:rsidRPr="00A658E5">
        <w:t xml:space="preserve">kWp. </w:t>
      </w:r>
    </w:p>
    <w:p w14:paraId="75B490C7" w14:textId="5D9D0396" w:rsidR="00046EA2" w:rsidRPr="000949E9" w:rsidRDefault="00046EA2" w:rsidP="000949E9">
      <w:pPr>
        <w:pStyle w:val="Heading1"/>
        <w:rPr>
          <w:color w:val="215E99" w:themeColor="text2" w:themeTint="BF"/>
        </w:rPr>
      </w:pPr>
      <w:bookmarkStart w:id="2" w:name="_Toc168928342"/>
      <w:bookmarkStart w:id="3" w:name="_Toc169275821"/>
      <w:r w:rsidRPr="000949E9">
        <w:rPr>
          <w:color w:val="215E99" w:themeColor="text2" w:themeTint="BF"/>
        </w:rPr>
        <w:t>Analisi Risultati</w:t>
      </w:r>
      <w:bookmarkEnd w:id="2"/>
      <w:bookmarkEnd w:id="3"/>
      <w:r w:rsidRPr="000949E9">
        <w:rPr>
          <w:color w:val="215E99" w:themeColor="text2" w:themeTint="BF"/>
        </w:rPr>
        <w:t xml:space="preserve"> </w:t>
      </w:r>
    </w:p>
    <w:p w14:paraId="622C9C47" w14:textId="4F835509" w:rsidR="00046EA2" w:rsidRPr="000949E9" w:rsidRDefault="00046EA2" w:rsidP="000949E9">
      <w:pPr>
        <w:pStyle w:val="Heading2"/>
        <w:rPr>
          <w:color w:val="215E99" w:themeColor="text2" w:themeTint="BF"/>
        </w:rPr>
      </w:pPr>
      <w:bookmarkStart w:id="4" w:name="_Toc168928343"/>
      <w:bookmarkStart w:id="5" w:name="_Hlk170401374"/>
      <w:proofErr w:type="spellStart"/>
      <w:r w:rsidRPr="000949E9">
        <w:rPr>
          <w:color w:val="215E99" w:themeColor="text2" w:themeTint="BF"/>
        </w:rPr>
        <w:t>Benefici</w:t>
      </w:r>
      <w:proofErr w:type="spellEnd"/>
      <w:r w:rsidRPr="000949E9">
        <w:rPr>
          <w:color w:val="215E99" w:themeColor="text2" w:themeTint="BF"/>
        </w:rPr>
        <w:t xml:space="preserve"> economici </w:t>
      </w:r>
      <w:proofErr w:type="spellStart"/>
      <w:r w:rsidRPr="000949E9">
        <w:rPr>
          <w:color w:val="215E99" w:themeColor="text2" w:themeTint="BF"/>
        </w:rPr>
        <w:t>complessivi</w:t>
      </w:r>
      <w:bookmarkEnd w:id="4"/>
      <w:proofErr w:type="spellEnd"/>
      <w:r w:rsidR="002B2E91" w:rsidRPr="000949E9">
        <w:rPr>
          <w:color w:val="215E99" w:themeColor="text2" w:themeTint="BF"/>
        </w:rPr>
        <w:t xml:space="preserve"> </w:t>
      </w:r>
      <w:proofErr w:type="spellStart"/>
      <w:r w:rsidR="002B2E91" w:rsidRPr="000949E9">
        <w:rPr>
          <w:color w:val="215E99" w:themeColor="text2" w:themeTint="BF"/>
        </w:rPr>
        <w:t>della</w:t>
      </w:r>
      <w:proofErr w:type="spellEnd"/>
      <w:r w:rsidR="002B2E91" w:rsidRPr="000949E9">
        <w:rPr>
          <w:color w:val="215E99" w:themeColor="text2" w:themeTint="BF"/>
        </w:rPr>
        <w:t xml:space="preserve"> CER</w:t>
      </w:r>
    </w:p>
    <w:bookmarkEnd w:id="5"/>
    <w:p w14:paraId="1795255D" w14:textId="18F4279A" w:rsidR="00F40421" w:rsidRPr="00F71114" w:rsidRDefault="00F40421" w:rsidP="00A658E5">
      <w:r w:rsidRPr="00F71114">
        <w:lastRenderedPageBreak/>
        <w:t>Per quanto riguarda i benefici economici, la remunerazione della cessione dell’energia immessa al GSE (Ritiro Dedicato) e l’eventuale contributo PNRR spettano a</w:t>
      </w:r>
      <w:r w:rsidR="00B82518" w:rsidRPr="00F71114">
        <w:t>lle aziende</w:t>
      </w:r>
      <w:r w:rsidRPr="00F71114">
        <w:t xml:space="preserve"> proprietari</w:t>
      </w:r>
      <w:r w:rsidR="00B82518" w:rsidRPr="00F71114">
        <w:t>e in egual misura.</w:t>
      </w:r>
      <w:r w:rsidRPr="00F71114">
        <w:t xml:space="preserve"> </w:t>
      </w:r>
      <w:bookmarkStart w:id="6" w:name="_Hlk169766365"/>
      <w:r w:rsidR="00B82518" w:rsidRPr="00F71114">
        <w:t>Analogamente, l</w:t>
      </w:r>
      <w:r w:rsidRPr="00F71114">
        <w:t>a condivisione di energia genera</w:t>
      </w:r>
      <w:r w:rsidR="00B82518" w:rsidRPr="00F71114">
        <w:t xml:space="preserve"> un</w:t>
      </w:r>
      <w:r w:rsidRPr="00F71114">
        <w:t xml:space="preserve"> incentivo e una valorizzazione Arera che </w:t>
      </w:r>
      <w:r w:rsidR="00AC20F9">
        <w:t>vengono</w:t>
      </w:r>
      <w:r w:rsidRPr="00F71114">
        <w:t xml:space="preserve"> riconosciut</w:t>
      </w:r>
      <w:r w:rsidR="00AC20F9">
        <w:t>i</w:t>
      </w:r>
      <w:r w:rsidRPr="00F71114">
        <w:t xml:space="preserve"> alla comunità stessa, la quale la impegna per i propri scopi e nelle modalità che si è prefissata. </w:t>
      </w:r>
      <w:bookmarkStart w:id="7" w:name="_Hlk169766355"/>
      <w:r w:rsidR="002B2E91" w:rsidRPr="00F71114">
        <w:t xml:space="preserve">In questo studio si ipotizza una ripartizione degli incentivi </w:t>
      </w:r>
      <w:bookmarkStart w:id="8" w:name="_Hlk190875327"/>
      <w:r w:rsidR="006B65DA">
        <w:t xml:space="preserve">e della valorizzazione ARERA </w:t>
      </w:r>
      <w:bookmarkEnd w:id="8"/>
      <w:r w:rsidR="00B82518" w:rsidRPr="00F71114">
        <w:t xml:space="preserve">egualitaria tra </w:t>
      </w:r>
      <w:r w:rsidR="004055C2" w:rsidRPr="00F71114">
        <w:t xml:space="preserve">le </w:t>
      </w:r>
      <w:r w:rsidR="00B82518" w:rsidRPr="00F71114">
        <w:t>aziende della CER.</w:t>
      </w:r>
    </w:p>
    <w:bookmarkEnd w:id="6"/>
    <w:bookmarkEnd w:id="7"/>
    <w:p w14:paraId="510631E2" w14:textId="5D41B186" w:rsidR="00046EA2" w:rsidRPr="00F71114" w:rsidRDefault="00046EA2" w:rsidP="00A658E5">
      <w:r w:rsidRPr="00F71114">
        <w:t>La parte di incentivo generato dalla CER corrispondente all’energia condivisa eccedente i valori di soglia limite percentuali di energia condivisa</w:t>
      </w:r>
      <w:r w:rsidR="006B65DA">
        <w:t xml:space="preserve"> </w:t>
      </w:r>
      <w:bookmarkStart w:id="9" w:name="_Hlk190875432"/>
      <w:r w:rsidR="006B65DA">
        <w:t>(55% o 45%, rispettivamente senza e con accesso al PNRR)</w:t>
      </w:r>
      <w:r w:rsidRPr="00F71114">
        <w:t xml:space="preserve"> </w:t>
      </w:r>
      <w:bookmarkEnd w:id="9"/>
      <w:r w:rsidRPr="00F71114">
        <w:t xml:space="preserve">deve </w:t>
      </w:r>
      <w:r w:rsidR="00F40421" w:rsidRPr="00F71114">
        <w:t xml:space="preserve">però </w:t>
      </w:r>
      <w:r w:rsidRPr="00F71114">
        <w:t>essere “</w:t>
      </w:r>
      <w:r w:rsidRPr="00F71114">
        <w:rPr>
          <w:i/>
          <w:iCs/>
        </w:rPr>
        <w:t>destinato a soli consumatori diversi da imprese e/o utilizzato per finalità sociali con ricadute sul territorio</w:t>
      </w:r>
      <w:r w:rsidRPr="00F71114">
        <w:t xml:space="preserve">” (Decreto Ministeriale CACER art. 3 comma 2 lettera g). Tale quota di incentivo, limitatamente a questo studio, viene esplicitato e denominato </w:t>
      </w:r>
      <w:r w:rsidRPr="00F71114">
        <w:rPr>
          <w:b/>
          <w:bCs/>
        </w:rPr>
        <w:t>Fondo Sociale</w:t>
      </w:r>
      <w:r w:rsidR="002E1B6F" w:rsidRPr="00F71114">
        <w:t xml:space="preserve">, e viene escluso dalla ripartizione per utenti industriali riportata nei paragrafi successivi, in quanto considerata destinata ad </w:t>
      </w:r>
      <w:r w:rsidR="006B65DA">
        <w:t>attività</w:t>
      </w:r>
      <w:r w:rsidR="002E1B6F" w:rsidRPr="00F71114">
        <w:t xml:space="preserve"> con ricadute sul territorio e non passabili di divisione tra i membri della comunità.</w:t>
      </w:r>
      <w:bookmarkStart w:id="10" w:name="_Hlk170401399"/>
      <w:r w:rsidR="002B2E91" w:rsidRPr="00F71114">
        <w:t xml:space="preserve"> In alcuni casi, il Fondo Sociale calcolato è nullo, il che significa che i valori di soglia limite percentuali di energia condivisa non sono stati superati.</w:t>
      </w:r>
      <w:bookmarkEnd w:id="10"/>
    </w:p>
    <w:p w14:paraId="768681B2" w14:textId="2C054C34" w:rsidR="00A658E5" w:rsidRDefault="00EF32FF" w:rsidP="00A658E5">
      <w:r w:rsidRPr="00F71114">
        <w:t>Nella seguente tabella sono riportati i ricavi economici per un anno medio, in cui viene indicata anche la quota di Fondo Sociale generata dalla CER, non fruibile dagli utenti industriali.</w:t>
      </w:r>
      <w:r w:rsidR="00B82518" w:rsidRPr="00F71114">
        <w:t xml:space="preserve"> È importante notare inoltre che il risparmio in bolletta, legato alla riduzione del prelievo da rete in seguito all’autoconsumo diretto (non transitante la rete elettrica)</w:t>
      </w:r>
      <w:r w:rsidR="006B65DA">
        <w:t xml:space="preserve"> non è applicabile</w:t>
      </w:r>
      <w:r w:rsidR="00B82518" w:rsidRPr="00F71114">
        <w:t xml:space="preserve"> in questo caso in quanto l’impianto è in immissione totale e le bollette rimarranno invariate per </w:t>
      </w:r>
      <w:r w:rsidR="004055C2" w:rsidRPr="00F71114">
        <w:t>tutti gli utenti consumers</w:t>
      </w:r>
      <w:r w:rsidR="00B82518" w:rsidRPr="00F71114">
        <w:t>.</w:t>
      </w:r>
      <w:bookmarkStart w:id="11" w:name="_Toc168928344"/>
      <w:r w:rsidR="006B65DA">
        <w:t xml:space="preserve"> </w:t>
      </w:r>
    </w:p>
    <w:p w14:paraId="3C201F87" w14:textId="2FDBA34C" w:rsidR="006B65DA" w:rsidRPr="00F71114" w:rsidRDefault="006B65DA" w:rsidP="00A658E5">
      <w:r>
        <w:t xml:space="preserve">Il ritiro dedicato spetta al proprietario dell’impianto, che in questo caso è la CER stessa e viene ripartito in parti eguali tra le aziende in virtù delle quote di investimento supposte uguali.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275"/>
        <w:gridCol w:w="2410"/>
        <w:gridCol w:w="2410"/>
      </w:tblGrid>
      <w:tr w:rsidR="00A658E5" w:rsidRPr="00383E59" w14:paraId="1EAA1A34" w14:textId="77777777" w:rsidTr="0034758F">
        <w:trPr>
          <w:trHeight w:val="430"/>
          <w:jc w:val="center"/>
        </w:trPr>
        <w:tc>
          <w:tcPr>
            <w:tcW w:w="2689" w:type="dxa"/>
          </w:tcPr>
          <w:p w14:paraId="212A70EB" w14:textId="6F15E033" w:rsidR="00A658E5" w:rsidRPr="00383E59" w:rsidRDefault="00A658E5" w:rsidP="0034758F">
            <w:pPr>
              <w:jc w:val="left"/>
              <w:rPr>
                <w:b/>
                <w:bCs/>
              </w:rPr>
            </w:pPr>
            <w:r w:rsidRPr="00383E59">
              <w:rPr>
                <w:b/>
                <w:bCs/>
              </w:rPr>
              <w:t xml:space="preserve">Benefici Economici medi annui </w:t>
            </w:r>
            <w:r>
              <w:rPr>
                <w:b/>
                <w:bCs/>
              </w:rPr>
              <w:t>(€)</w:t>
            </w:r>
          </w:p>
        </w:tc>
        <w:tc>
          <w:tcPr>
            <w:tcW w:w="1275" w:type="dxa"/>
          </w:tcPr>
          <w:p w14:paraId="743AA688" w14:textId="77777777" w:rsidR="00A658E5" w:rsidRPr="00383E59" w:rsidRDefault="00A658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Beneficiario</w:t>
            </w:r>
          </w:p>
        </w:tc>
        <w:tc>
          <w:tcPr>
            <w:tcW w:w="2410" w:type="dxa"/>
          </w:tcPr>
          <w:p w14:paraId="53F9DD58" w14:textId="77777777" w:rsidR="00A658E5" w:rsidRPr="00383E59" w:rsidRDefault="00A658E5">
            <w:pPr>
              <w:jc w:val="center"/>
              <w:rPr>
                <w:b/>
                <w:bCs/>
              </w:rPr>
            </w:pPr>
            <w:r w:rsidRPr="00383E59">
              <w:rPr>
                <w:b/>
                <w:bCs/>
              </w:rPr>
              <w:t>CER</w:t>
            </w:r>
          </w:p>
        </w:tc>
        <w:tc>
          <w:tcPr>
            <w:tcW w:w="2410" w:type="dxa"/>
          </w:tcPr>
          <w:p w14:paraId="33AD6936" w14:textId="77777777" w:rsidR="00A658E5" w:rsidRPr="00383E59" w:rsidRDefault="00A658E5">
            <w:pPr>
              <w:jc w:val="center"/>
              <w:rPr>
                <w:b/>
                <w:bCs/>
              </w:rPr>
            </w:pPr>
            <w:r w:rsidRPr="00383E59">
              <w:rPr>
                <w:b/>
                <w:bCs/>
              </w:rPr>
              <w:t>CER PNRR</w:t>
            </w:r>
          </w:p>
        </w:tc>
      </w:tr>
      <w:tr w:rsidR="00A658E5" w:rsidRPr="007F709E" w14:paraId="50D6E156" w14:textId="77777777" w:rsidTr="0034758F">
        <w:trPr>
          <w:jc w:val="center"/>
        </w:trPr>
        <w:tc>
          <w:tcPr>
            <w:tcW w:w="2689" w:type="dxa"/>
          </w:tcPr>
          <w:p w14:paraId="7EBC11B5" w14:textId="77777777" w:rsidR="00A658E5" w:rsidRPr="00383E59" w:rsidRDefault="00A658E5" w:rsidP="00A658E5">
            <w:pPr>
              <w:pStyle w:val="ListParagraph"/>
              <w:numPr>
                <w:ilvl w:val="0"/>
                <w:numId w:val="12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383E59">
              <w:t>Risparmio in bolletta</w:t>
            </w:r>
          </w:p>
        </w:tc>
        <w:tc>
          <w:tcPr>
            <w:tcW w:w="1275" w:type="dxa"/>
          </w:tcPr>
          <w:p w14:paraId="10003E46" w14:textId="3B3195E9" w:rsidR="00A658E5" w:rsidRPr="00E97FAA" w:rsidRDefault="00A658E5">
            <w:pPr>
              <w:jc w:val="center"/>
            </w:pPr>
            <w:r w:rsidRPr="00E97FAA">
              <w:t>Prosumer</w:t>
            </w:r>
          </w:p>
        </w:tc>
        <w:tc>
          <w:tcPr>
            <w:tcW w:w="2410" w:type="dxa"/>
            <w:shd w:val="clear" w:color="auto" w:fill="auto"/>
          </w:tcPr>
          <w:p w14:paraId="64C6A789" w14:textId="54734297" w:rsidR="00A658E5" w:rsidRPr="00E24651" w:rsidRDefault="00A658E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n.a.</w:t>
            </w:r>
          </w:p>
        </w:tc>
        <w:tc>
          <w:tcPr>
            <w:tcW w:w="2410" w:type="dxa"/>
            <w:shd w:val="clear" w:color="auto" w:fill="auto"/>
          </w:tcPr>
          <w:p w14:paraId="341626AF" w14:textId="5DDE73AA" w:rsidR="00A658E5" w:rsidRPr="007F709E" w:rsidRDefault="00A658E5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n.a.</w:t>
            </w:r>
          </w:p>
        </w:tc>
      </w:tr>
      <w:tr w:rsidR="00A658E5" w:rsidRPr="00E24651" w14:paraId="40F26B71" w14:textId="77777777" w:rsidTr="0034758F">
        <w:trPr>
          <w:jc w:val="center"/>
        </w:trPr>
        <w:tc>
          <w:tcPr>
            <w:tcW w:w="2689" w:type="dxa"/>
          </w:tcPr>
          <w:p w14:paraId="5E8F914F" w14:textId="77777777" w:rsidR="00A658E5" w:rsidRPr="00383E59" w:rsidRDefault="00A658E5" w:rsidP="00A658E5">
            <w:pPr>
              <w:pStyle w:val="ListParagraph"/>
              <w:numPr>
                <w:ilvl w:val="0"/>
                <w:numId w:val="12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383E59">
              <w:t>Ritiro Dedicato</w:t>
            </w:r>
          </w:p>
        </w:tc>
        <w:tc>
          <w:tcPr>
            <w:tcW w:w="1275" w:type="dxa"/>
          </w:tcPr>
          <w:p w14:paraId="44C66136" w14:textId="05A4BA4C" w:rsidR="00A658E5" w:rsidRPr="00E97FAA" w:rsidRDefault="00A658E5">
            <w:pPr>
              <w:jc w:val="center"/>
            </w:pPr>
            <w:r>
              <w:t>CER</w:t>
            </w:r>
          </w:p>
        </w:tc>
        <w:tc>
          <w:tcPr>
            <w:tcW w:w="2410" w:type="dxa"/>
            <w:shd w:val="clear" w:color="auto" w:fill="auto"/>
          </w:tcPr>
          <w:p w14:paraId="601324DE" w14:textId="77777777" w:rsidR="00A658E5" w:rsidRPr="00E24651" w:rsidRDefault="00A658E5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_revenues_rid&gt;</w:t>
            </w:r>
          </w:p>
        </w:tc>
        <w:tc>
          <w:tcPr>
            <w:tcW w:w="2410" w:type="dxa"/>
            <w:shd w:val="clear" w:color="auto" w:fill="auto"/>
          </w:tcPr>
          <w:p w14:paraId="597A393B" w14:textId="77777777" w:rsidR="00A658E5" w:rsidRPr="00E24651" w:rsidRDefault="00A658E5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_PNRR_revenues_rid&gt;</w:t>
            </w:r>
          </w:p>
        </w:tc>
      </w:tr>
      <w:tr w:rsidR="00A658E5" w:rsidRPr="00E24651" w14:paraId="0D8DAFD1" w14:textId="77777777" w:rsidTr="0034758F">
        <w:trPr>
          <w:jc w:val="center"/>
        </w:trPr>
        <w:tc>
          <w:tcPr>
            <w:tcW w:w="2689" w:type="dxa"/>
          </w:tcPr>
          <w:p w14:paraId="2F10B42E" w14:textId="77777777" w:rsidR="00A658E5" w:rsidRPr="00383E59" w:rsidRDefault="00A658E5" w:rsidP="00A658E5">
            <w:pPr>
              <w:pStyle w:val="ListParagraph"/>
              <w:numPr>
                <w:ilvl w:val="0"/>
                <w:numId w:val="12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383E59">
              <w:t>Incentivo tariffa premio</w:t>
            </w:r>
          </w:p>
        </w:tc>
        <w:tc>
          <w:tcPr>
            <w:tcW w:w="1275" w:type="dxa"/>
          </w:tcPr>
          <w:p w14:paraId="2EDD124B" w14:textId="77777777" w:rsidR="00A658E5" w:rsidRPr="00E97FAA" w:rsidRDefault="00A658E5">
            <w:pPr>
              <w:jc w:val="center"/>
            </w:pPr>
            <w:r w:rsidRPr="00E97FAA">
              <w:t>CER</w:t>
            </w:r>
          </w:p>
        </w:tc>
        <w:tc>
          <w:tcPr>
            <w:tcW w:w="2410" w:type="dxa"/>
            <w:shd w:val="clear" w:color="auto" w:fill="auto"/>
          </w:tcPr>
          <w:p w14:paraId="727A044E" w14:textId="77777777" w:rsidR="00A658E5" w:rsidRPr="00E24651" w:rsidRDefault="00A658E5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_revenues_incentives&gt;</w:t>
            </w:r>
          </w:p>
        </w:tc>
        <w:tc>
          <w:tcPr>
            <w:tcW w:w="2410" w:type="dxa"/>
            <w:shd w:val="clear" w:color="auto" w:fill="auto"/>
          </w:tcPr>
          <w:p w14:paraId="4E04145A" w14:textId="77777777" w:rsidR="00A658E5" w:rsidRPr="00E24651" w:rsidRDefault="00A658E5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</w:t>
            </w:r>
            <w:r>
              <w:rPr>
                <w:highlight w:val="yellow"/>
                <w:lang w:val="en-US"/>
              </w:rPr>
              <w:t>PNRR_</w:t>
            </w:r>
            <w:r w:rsidRPr="00C122D6">
              <w:rPr>
                <w:highlight w:val="yellow"/>
                <w:lang w:val="en-US"/>
              </w:rPr>
              <w:t>revenues_incentives&gt;</w:t>
            </w:r>
          </w:p>
        </w:tc>
      </w:tr>
      <w:tr w:rsidR="00A658E5" w:rsidRPr="00C122D6" w14:paraId="0C689BA5" w14:textId="77777777" w:rsidTr="0034758F">
        <w:trPr>
          <w:jc w:val="center"/>
        </w:trPr>
        <w:tc>
          <w:tcPr>
            <w:tcW w:w="2689" w:type="dxa"/>
          </w:tcPr>
          <w:p w14:paraId="0F9EA6B7" w14:textId="77777777" w:rsidR="00A658E5" w:rsidRPr="00383E59" w:rsidRDefault="00A658E5" w:rsidP="00A658E5">
            <w:pPr>
              <w:pStyle w:val="ListParagraph"/>
              <w:numPr>
                <w:ilvl w:val="0"/>
                <w:numId w:val="12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383E59">
              <w:t>Valorizzazione Arera</w:t>
            </w:r>
          </w:p>
        </w:tc>
        <w:tc>
          <w:tcPr>
            <w:tcW w:w="1275" w:type="dxa"/>
          </w:tcPr>
          <w:p w14:paraId="546E8063" w14:textId="77777777" w:rsidR="00A658E5" w:rsidRPr="00E97FAA" w:rsidRDefault="00A658E5">
            <w:pPr>
              <w:jc w:val="center"/>
            </w:pPr>
            <w:r w:rsidRPr="00E97FAA">
              <w:t>CER</w:t>
            </w:r>
          </w:p>
        </w:tc>
        <w:tc>
          <w:tcPr>
            <w:tcW w:w="2410" w:type="dxa"/>
            <w:shd w:val="clear" w:color="auto" w:fill="auto"/>
          </w:tcPr>
          <w:p w14:paraId="722B8456" w14:textId="77777777" w:rsidR="00A658E5" w:rsidRPr="00C122D6" w:rsidRDefault="00A658E5">
            <w:pPr>
              <w:jc w:val="center"/>
              <w:rPr>
                <w:highlight w:val="yellow"/>
                <w:lang w:val="en-US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_revenues_valorization&gt;</w:t>
            </w:r>
          </w:p>
        </w:tc>
        <w:tc>
          <w:tcPr>
            <w:tcW w:w="2410" w:type="dxa"/>
            <w:shd w:val="clear" w:color="auto" w:fill="auto"/>
          </w:tcPr>
          <w:p w14:paraId="0A80DB45" w14:textId="77777777" w:rsidR="00A658E5" w:rsidRPr="00C122D6" w:rsidRDefault="00A658E5">
            <w:pPr>
              <w:jc w:val="center"/>
              <w:rPr>
                <w:highlight w:val="yellow"/>
                <w:lang w:val="en-US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_PNRR_revenues_valorization&gt;</w:t>
            </w:r>
          </w:p>
        </w:tc>
      </w:tr>
      <w:tr w:rsidR="00A658E5" w:rsidRPr="00E24651" w14:paraId="5E46FB25" w14:textId="77777777" w:rsidTr="0034758F">
        <w:trPr>
          <w:jc w:val="center"/>
        </w:trPr>
        <w:tc>
          <w:tcPr>
            <w:tcW w:w="2689" w:type="dxa"/>
          </w:tcPr>
          <w:p w14:paraId="2427B78D" w14:textId="77777777" w:rsidR="00A658E5" w:rsidRPr="00383E59" w:rsidRDefault="00A658E5">
            <w:pPr>
              <w:pStyle w:val="ListParagraph"/>
            </w:pPr>
            <w:r>
              <w:t xml:space="preserve">(CER </w:t>
            </w:r>
            <w:r w:rsidRPr="00383E59">
              <w:t>Fondo sociale</w:t>
            </w:r>
            <w:r>
              <w:t>)</w:t>
            </w:r>
          </w:p>
        </w:tc>
        <w:tc>
          <w:tcPr>
            <w:tcW w:w="1275" w:type="dxa"/>
          </w:tcPr>
          <w:p w14:paraId="22B94EF4" w14:textId="77777777" w:rsidR="00A658E5" w:rsidRPr="00E97FAA" w:rsidRDefault="00A658E5">
            <w:pPr>
              <w:jc w:val="center"/>
            </w:pPr>
            <w:r w:rsidRPr="00E97FAA">
              <w:t>Territorio</w:t>
            </w:r>
          </w:p>
        </w:tc>
        <w:tc>
          <w:tcPr>
            <w:tcW w:w="2410" w:type="dxa"/>
            <w:shd w:val="clear" w:color="auto" w:fill="auto"/>
          </w:tcPr>
          <w:p w14:paraId="0FF82483" w14:textId="77777777" w:rsidR="00A658E5" w:rsidRPr="00E24651" w:rsidRDefault="00A658E5">
            <w:pPr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&lt;</w:t>
            </w:r>
            <w:r w:rsidRPr="00A520A7">
              <w:rPr>
                <w:highlight w:val="yellow"/>
                <w:lang w:val="en-US"/>
              </w:rPr>
              <w:t>CER_social_purposes</w:t>
            </w:r>
            <w:r>
              <w:rPr>
                <w:highlight w:val="yellow"/>
                <w:lang w:val="en-US"/>
              </w:rPr>
              <w:t>&gt;</w:t>
            </w:r>
          </w:p>
        </w:tc>
        <w:tc>
          <w:tcPr>
            <w:tcW w:w="2410" w:type="dxa"/>
            <w:shd w:val="clear" w:color="auto" w:fill="auto"/>
          </w:tcPr>
          <w:p w14:paraId="3D9D8012" w14:textId="77777777" w:rsidR="00A658E5" w:rsidRPr="00E24651" w:rsidRDefault="00A658E5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 w:rsidRPr="00A520A7">
              <w:rPr>
                <w:highlight w:val="yellow"/>
                <w:lang w:val="en-US"/>
              </w:rPr>
              <w:t>CER_PNRR_social_purposes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</w:tr>
    </w:tbl>
    <w:p w14:paraId="42291450" w14:textId="77777777" w:rsidR="0034758F" w:rsidRDefault="0034758F" w:rsidP="000949E9">
      <w:pPr>
        <w:pStyle w:val="Heading2"/>
        <w:rPr>
          <w:color w:val="215E99" w:themeColor="text2" w:themeTint="BF"/>
        </w:rPr>
      </w:pPr>
    </w:p>
    <w:p w14:paraId="7786CD62" w14:textId="03B4979D" w:rsidR="002736A8" w:rsidRPr="000949E9" w:rsidRDefault="00046EA2" w:rsidP="000949E9">
      <w:pPr>
        <w:pStyle w:val="Heading2"/>
        <w:rPr>
          <w:color w:val="215E99" w:themeColor="text2" w:themeTint="BF"/>
        </w:rPr>
      </w:pPr>
      <w:r w:rsidRPr="000949E9">
        <w:rPr>
          <w:color w:val="215E99" w:themeColor="text2" w:themeTint="BF"/>
        </w:rPr>
        <w:t xml:space="preserve">Risultati economici per </w:t>
      </w:r>
      <w:r w:rsidR="00B82518" w:rsidRPr="000949E9">
        <w:rPr>
          <w:color w:val="215E99" w:themeColor="text2" w:themeTint="BF"/>
        </w:rPr>
        <w:t>la singola azienda</w:t>
      </w:r>
      <w:r w:rsidRPr="000949E9">
        <w:rPr>
          <w:color w:val="215E99" w:themeColor="text2" w:themeTint="BF"/>
        </w:rPr>
        <w:t xml:space="preserve"> </w:t>
      </w:r>
      <w:bookmarkEnd w:id="11"/>
      <w:r w:rsidR="00F40421" w:rsidRPr="000949E9">
        <w:rPr>
          <w:color w:val="215E99" w:themeColor="text2" w:themeTint="BF"/>
        </w:rPr>
        <w:t>consumer</w:t>
      </w:r>
      <w:r w:rsidRPr="000949E9">
        <w:rPr>
          <w:color w:val="215E99" w:themeColor="text2" w:themeTint="BF"/>
        </w:rPr>
        <w:t xml:space="preserve"> </w:t>
      </w:r>
    </w:p>
    <w:p w14:paraId="0F9D530C" w14:textId="2941B886" w:rsidR="00A658E5" w:rsidRPr="009E2714" w:rsidRDefault="00A658E5" w:rsidP="00A658E5">
      <w:r>
        <w:t>Analogamente a quanto visto sopra per l’intera CER, nella seguente tabella sono riportati i ricavi economici per un anno medio, ma specificamente le quote che spettano al</w:t>
      </w:r>
      <w:r w:rsidR="000949E9">
        <w:t xml:space="preserve"> singolo </w:t>
      </w:r>
      <w:r>
        <w:t xml:space="preserve">utente </w:t>
      </w:r>
      <w:r w:rsidR="000949E9">
        <w:t>consumer</w:t>
      </w:r>
      <w: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410"/>
        <w:gridCol w:w="2239"/>
      </w:tblGrid>
      <w:tr w:rsidR="00A658E5" w:rsidRPr="00383E59" w14:paraId="787C8481" w14:textId="77777777" w:rsidTr="0034758F">
        <w:trPr>
          <w:trHeight w:val="430"/>
          <w:jc w:val="center"/>
        </w:trPr>
        <w:tc>
          <w:tcPr>
            <w:tcW w:w="2694" w:type="dxa"/>
          </w:tcPr>
          <w:p w14:paraId="2187B526" w14:textId="7FDDA487" w:rsidR="00A658E5" w:rsidRPr="00383E59" w:rsidRDefault="00A658E5" w:rsidP="0034758F">
            <w:pPr>
              <w:jc w:val="left"/>
              <w:rPr>
                <w:b/>
                <w:bCs/>
              </w:rPr>
            </w:pPr>
            <w:r w:rsidRPr="00383E59">
              <w:rPr>
                <w:b/>
                <w:bCs/>
              </w:rPr>
              <w:t xml:space="preserve">Benefici Economici medi annui </w:t>
            </w:r>
            <w:r>
              <w:rPr>
                <w:b/>
                <w:bCs/>
              </w:rPr>
              <w:t>del consumer</w:t>
            </w:r>
            <w:r w:rsidR="000949E9">
              <w:rPr>
                <w:b/>
                <w:bCs/>
              </w:rPr>
              <w:t xml:space="preserve"> (€)</w:t>
            </w:r>
          </w:p>
        </w:tc>
        <w:tc>
          <w:tcPr>
            <w:tcW w:w="2410" w:type="dxa"/>
          </w:tcPr>
          <w:p w14:paraId="6E3D38B6" w14:textId="77777777" w:rsidR="00A658E5" w:rsidRPr="00383E59" w:rsidRDefault="00A658E5">
            <w:pPr>
              <w:jc w:val="center"/>
              <w:rPr>
                <w:b/>
                <w:bCs/>
              </w:rPr>
            </w:pPr>
            <w:r w:rsidRPr="00383E59">
              <w:rPr>
                <w:b/>
                <w:bCs/>
              </w:rPr>
              <w:t>CER</w:t>
            </w:r>
          </w:p>
        </w:tc>
        <w:tc>
          <w:tcPr>
            <w:tcW w:w="2239" w:type="dxa"/>
          </w:tcPr>
          <w:p w14:paraId="3DB58A04" w14:textId="77777777" w:rsidR="00A658E5" w:rsidRPr="00383E59" w:rsidRDefault="00A658E5">
            <w:pPr>
              <w:jc w:val="center"/>
              <w:rPr>
                <w:b/>
                <w:bCs/>
              </w:rPr>
            </w:pPr>
            <w:r w:rsidRPr="00383E59">
              <w:rPr>
                <w:b/>
                <w:bCs/>
              </w:rPr>
              <w:t>CER PNRR</w:t>
            </w:r>
          </w:p>
        </w:tc>
      </w:tr>
      <w:tr w:rsidR="00A658E5" w:rsidRPr="008F49C8" w14:paraId="04CBBF0F" w14:textId="77777777" w:rsidTr="0034758F">
        <w:trPr>
          <w:trHeight w:val="430"/>
          <w:jc w:val="center"/>
        </w:trPr>
        <w:tc>
          <w:tcPr>
            <w:tcW w:w="2694" w:type="dxa"/>
          </w:tcPr>
          <w:p w14:paraId="5BF44CE3" w14:textId="77777777" w:rsidR="00A658E5" w:rsidRPr="008F49C8" w:rsidRDefault="00A658E5" w:rsidP="00A658E5">
            <w:pPr>
              <w:pStyle w:val="ListParagraph"/>
              <w:numPr>
                <w:ilvl w:val="0"/>
                <w:numId w:val="13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8F49C8">
              <w:t>Risparmio in bolletta</w:t>
            </w:r>
          </w:p>
        </w:tc>
        <w:tc>
          <w:tcPr>
            <w:tcW w:w="2410" w:type="dxa"/>
          </w:tcPr>
          <w:p w14:paraId="46367C67" w14:textId="559FE062" w:rsidR="00A658E5" w:rsidRPr="0034758F" w:rsidRDefault="0034758F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34758F">
              <w:rPr>
                <w:highlight w:val="yellow"/>
                <w:lang w:val="en-US"/>
              </w:rPr>
              <w:t>n.a.</w:t>
            </w:r>
            <w:proofErr w:type="spellEnd"/>
          </w:p>
        </w:tc>
        <w:tc>
          <w:tcPr>
            <w:tcW w:w="2239" w:type="dxa"/>
          </w:tcPr>
          <w:p w14:paraId="334F5063" w14:textId="55960D76" w:rsidR="00A658E5" w:rsidRPr="0034758F" w:rsidRDefault="0034758F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34758F">
              <w:rPr>
                <w:highlight w:val="yellow"/>
                <w:lang w:val="en-US"/>
              </w:rPr>
              <w:t>n.a.</w:t>
            </w:r>
            <w:proofErr w:type="spellEnd"/>
          </w:p>
        </w:tc>
      </w:tr>
      <w:tr w:rsidR="00A658E5" w:rsidRPr="008F49C8" w14:paraId="734F5E2F" w14:textId="77777777" w:rsidTr="0034758F">
        <w:trPr>
          <w:trHeight w:val="430"/>
          <w:jc w:val="center"/>
        </w:trPr>
        <w:tc>
          <w:tcPr>
            <w:tcW w:w="2694" w:type="dxa"/>
          </w:tcPr>
          <w:p w14:paraId="176D54CE" w14:textId="77777777" w:rsidR="00A658E5" w:rsidRPr="008F49C8" w:rsidRDefault="00A658E5" w:rsidP="00A658E5">
            <w:pPr>
              <w:pStyle w:val="ListParagraph"/>
              <w:numPr>
                <w:ilvl w:val="0"/>
                <w:numId w:val="13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8F49C8">
              <w:t>Ritiro Dedicato</w:t>
            </w:r>
          </w:p>
        </w:tc>
        <w:tc>
          <w:tcPr>
            <w:tcW w:w="2410" w:type="dxa"/>
          </w:tcPr>
          <w:p w14:paraId="585B18B5" w14:textId="77777777" w:rsidR="00A658E5" w:rsidRPr="008F49C8" w:rsidRDefault="00A658E5">
            <w:pPr>
              <w:jc w:val="center"/>
              <w:rPr>
                <w:b/>
                <w:bCs/>
                <w:highlight w:val="yellow"/>
              </w:rPr>
            </w:pPr>
            <w:r w:rsidRPr="00374B1A">
              <w:rPr>
                <w:highlight w:val="yellow"/>
                <w:lang w:val="en-US"/>
              </w:rPr>
              <w:t>&lt;CER_revenues_rid_cons&gt;</w:t>
            </w:r>
          </w:p>
        </w:tc>
        <w:tc>
          <w:tcPr>
            <w:tcW w:w="2239" w:type="dxa"/>
          </w:tcPr>
          <w:p w14:paraId="39CFC899" w14:textId="77777777" w:rsidR="00A658E5" w:rsidRPr="008F49C8" w:rsidRDefault="00A658E5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8F49C8">
              <w:rPr>
                <w:highlight w:val="yellow"/>
                <w:lang w:val="en-US"/>
              </w:rPr>
              <w:t>&lt;CER_PNRR_revenues_rid_cons&gt;</w:t>
            </w:r>
          </w:p>
        </w:tc>
      </w:tr>
      <w:tr w:rsidR="00A658E5" w:rsidRPr="001D7032" w14:paraId="09013B01" w14:textId="77777777" w:rsidTr="0034758F">
        <w:trPr>
          <w:jc w:val="center"/>
        </w:trPr>
        <w:tc>
          <w:tcPr>
            <w:tcW w:w="2694" w:type="dxa"/>
          </w:tcPr>
          <w:p w14:paraId="46DD31A7" w14:textId="77777777" w:rsidR="00A658E5" w:rsidRPr="008F49C8" w:rsidRDefault="00A658E5" w:rsidP="00A658E5">
            <w:pPr>
              <w:pStyle w:val="ListParagraph"/>
              <w:numPr>
                <w:ilvl w:val="0"/>
                <w:numId w:val="13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8F49C8">
              <w:t>Incentivo tariffa premio</w:t>
            </w:r>
          </w:p>
        </w:tc>
        <w:tc>
          <w:tcPr>
            <w:tcW w:w="2410" w:type="dxa"/>
            <w:shd w:val="clear" w:color="auto" w:fill="auto"/>
          </w:tcPr>
          <w:p w14:paraId="2EC6A1D2" w14:textId="77777777" w:rsidR="00A658E5" w:rsidRPr="00E24651" w:rsidRDefault="00A658E5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_revenues_incentives</w:t>
            </w:r>
            <w:r>
              <w:rPr>
                <w:highlight w:val="yellow"/>
                <w:lang w:val="en-US"/>
              </w:rPr>
              <w:t>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  <w:tc>
          <w:tcPr>
            <w:tcW w:w="2239" w:type="dxa"/>
            <w:shd w:val="clear" w:color="auto" w:fill="auto"/>
          </w:tcPr>
          <w:p w14:paraId="153ABA14" w14:textId="77777777" w:rsidR="00A658E5" w:rsidRPr="002F5D7F" w:rsidRDefault="00A658E5">
            <w:pPr>
              <w:jc w:val="center"/>
              <w:rPr>
                <w:highlight w:val="yellow"/>
                <w:lang w:val="en-US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</w:t>
            </w:r>
            <w:r>
              <w:rPr>
                <w:highlight w:val="yellow"/>
                <w:lang w:val="en-US"/>
              </w:rPr>
              <w:t>PNRR_</w:t>
            </w:r>
            <w:r w:rsidRPr="00C122D6">
              <w:rPr>
                <w:highlight w:val="yellow"/>
                <w:lang w:val="en-US"/>
              </w:rPr>
              <w:t>revenues_incentives</w:t>
            </w:r>
            <w:r>
              <w:rPr>
                <w:highlight w:val="yellow"/>
                <w:lang w:val="en-US"/>
              </w:rPr>
              <w:t>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</w:tr>
      <w:tr w:rsidR="00A658E5" w:rsidRPr="001D7032" w14:paraId="661881D8" w14:textId="77777777" w:rsidTr="0034758F">
        <w:trPr>
          <w:jc w:val="center"/>
        </w:trPr>
        <w:tc>
          <w:tcPr>
            <w:tcW w:w="2694" w:type="dxa"/>
          </w:tcPr>
          <w:p w14:paraId="0F414F83" w14:textId="77777777" w:rsidR="00A658E5" w:rsidRPr="008F49C8" w:rsidRDefault="00A658E5" w:rsidP="00A658E5">
            <w:pPr>
              <w:pStyle w:val="ListParagraph"/>
              <w:numPr>
                <w:ilvl w:val="0"/>
                <w:numId w:val="13"/>
              </w:numPr>
              <w:shd w:val="clear" w:color="auto" w:fill="auto"/>
              <w:spacing w:before="0" w:beforeAutospacing="0" w:after="0" w:afterAutospacing="0"/>
              <w:jc w:val="left"/>
            </w:pPr>
            <w:r w:rsidRPr="008F49C8">
              <w:lastRenderedPageBreak/>
              <w:t>Valorizzazione Arera</w:t>
            </w:r>
          </w:p>
        </w:tc>
        <w:tc>
          <w:tcPr>
            <w:tcW w:w="2410" w:type="dxa"/>
            <w:shd w:val="clear" w:color="auto" w:fill="auto"/>
          </w:tcPr>
          <w:p w14:paraId="57940644" w14:textId="77777777" w:rsidR="00A658E5" w:rsidRPr="00C122D6" w:rsidRDefault="00A658E5">
            <w:pPr>
              <w:jc w:val="center"/>
              <w:rPr>
                <w:highlight w:val="yellow"/>
                <w:lang w:val="en-US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_revenues_valorization</w:t>
            </w:r>
            <w:r>
              <w:rPr>
                <w:highlight w:val="yellow"/>
                <w:lang w:val="en-US"/>
              </w:rPr>
              <w:t>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  <w:tc>
          <w:tcPr>
            <w:tcW w:w="2239" w:type="dxa"/>
            <w:shd w:val="clear" w:color="auto" w:fill="auto"/>
          </w:tcPr>
          <w:p w14:paraId="64C148F3" w14:textId="77777777" w:rsidR="00A658E5" w:rsidRPr="00C122D6" w:rsidRDefault="00A658E5">
            <w:pPr>
              <w:jc w:val="center"/>
              <w:rPr>
                <w:highlight w:val="yellow"/>
                <w:lang w:val="en-US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_PNRR_revenues_valorization</w:t>
            </w:r>
            <w:r>
              <w:rPr>
                <w:highlight w:val="yellow"/>
                <w:lang w:val="en-US"/>
              </w:rPr>
              <w:t>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</w:tr>
    </w:tbl>
    <w:p w14:paraId="3ED80E24" w14:textId="7756FD1C" w:rsidR="00B026E3" w:rsidRPr="009E2714" w:rsidRDefault="00CC6960" w:rsidP="00B026E3">
      <w:r w:rsidRPr="00F71114">
        <w:t xml:space="preserve">Di seguito sono invece riportati per l’utente </w:t>
      </w:r>
      <w:r w:rsidR="00A658E5">
        <w:t>consumer</w:t>
      </w:r>
      <w:r w:rsidRPr="00F71114">
        <w:t xml:space="preserve"> investitore il Tasso Interno di Ritorno (o IRR, Internal Rate of Return), il tempo di ritorno dell’investimento e la cumulata dei flussi di cassa attualizzati, per i vari scenari proposti.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2559"/>
      </w:tblGrid>
      <w:tr w:rsidR="00B026E3" w:rsidRPr="00383E59" w14:paraId="4922594D" w14:textId="77777777" w:rsidTr="00B026E3">
        <w:trPr>
          <w:jc w:val="center"/>
        </w:trPr>
        <w:tc>
          <w:tcPr>
            <w:tcW w:w="2972" w:type="dxa"/>
          </w:tcPr>
          <w:p w14:paraId="01A347E2" w14:textId="77777777" w:rsidR="00B026E3" w:rsidRPr="00383E59" w:rsidRDefault="00B026E3"/>
        </w:tc>
        <w:tc>
          <w:tcPr>
            <w:tcW w:w="2693" w:type="dxa"/>
          </w:tcPr>
          <w:p w14:paraId="333CBF6A" w14:textId="77777777" w:rsidR="00B026E3" w:rsidRPr="00383E59" w:rsidRDefault="00B026E3">
            <w:pPr>
              <w:jc w:val="center"/>
              <w:rPr>
                <w:b/>
                <w:bCs/>
              </w:rPr>
            </w:pPr>
            <w:r w:rsidRPr="00383E59">
              <w:rPr>
                <w:b/>
                <w:bCs/>
              </w:rPr>
              <w:t>CER</w:t>
            </w:r>
          </w:p>
        </w:tc>
        <w:tc>
          <w:tcPr>
            <w:tcW w:w="2559" w:type="dxa"/>
          </w:tcPr>
          <w:p w14:paraId="3C880486" w14:textId="77777777" w:rsidR="00B026E3" w:rsidRPr="00383E59" w:rsidRDefault="00B026E3">
            <w:pPr>
              <w:jc w:val="center"/>
              <w:rPr>
                <w:b/>
                <w:bCs/>
              </w:rPr>
            </w:pPr>
            <w:r w:rsidRPr="00383E59">
              <w:rPr>
                <w:b/>
                <w:bCs/>
              </w:rPr>
              <w:t>CER PNRR</w:t>
            </w:r>
          </w:p>
        </w:tc>
      </w:tr>
      <w:tr w:rsidR="00B026E3" w:rsidRPr="00383E59" w14:paraId="44CEB0A4" w14:textId="77777777" w:rsidTr="00B026E3">
        <w:trPr>
          <w:jc w:val="center"/>
        </w:trPr>
        <w:tc>
          <w:tcPr>
            <w:tcW w:w="2972" w:type="dxa"/>
          </w:tcPr>
          <w:p w14:paraId="45C8C9E5" w14:textId="77777777" w:rsidR="00B026E3" w:rsidRPr="00383E59" w:rsidRDefault="00B026E3">
            <w:r w:rsidRPr="00383E59">
              <w:t>IRR (%)</w:t>
            </w:r>
          </w:p>
        </w:tc>
        <w:tc>
          <w:tcPr>
            <w:tcW w:w="2693" w:type="dxa"/>
          </w:tcPr>
          <w:p w14:paraId="7AC58741" w14:textId="77777777" w:rsidR="00B026E3" w:rsidRPr="009E2714" w:rsidRDefault="00B026E3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</w:t>
            </w:r>
            <w:r>
              <w:rPr>
                <w:highlight w:val="yellow"/>
                <w:lang w:val="en-US"/>
              </w:rPr>
              <w:t>irr_cons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  <w:tc>
          <w:tcPr>
            <w:tcW w:w="2559" w:type="dxa"/>
          </w:tcPr>
          <w:p w14:paraId="06E2C5E6" w14:textId="77777777" w:rsidR="00B026E3" w:rsidRPr="009E2714" w:rsidRDefault="00B026E3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_PNRR_</w:t>
            </w:r>
            <w:r>
              <w:rPr>
                <w:highlight w:val="yellow"/>
                <w:lang w:val="en-US"/>
              </w:rPr>
              <w:t>irr_cons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</w:tr>
      <w:tr w:rsidR="00B026E3" w:rsidRPr="00963F79" w14:paraId="3B8E2EA2" w14:textId="77777777" w:rsidTr="00B026E3">
        <w:trPr>
          <w:jc w:val="center"/>
        </w:trPr>
        <w:tc>
          <w:tcPr>
            <w:tcW w:w="2972" w:type="dxa"/>
          </w:tcPr>
          <w:p w14:paraId="485B643C" w14:textId="77777777" w:rsidR="00B026E3" w:rsidRPr="00383E59" w:rsidRDefault="00B026E3">
            <w:r w:rsidRPr="00383E59">
              <w:t>Ritorno dell’investimento (anni)</w:t>
            </w:r>
          </w:p>
        </w:tc>
        <w:tc>
          <w:tcPr>
            <w:tcW w:w="2693" w:type="dxa"/>
          </w:tcPr>
          <w:p w14:paraId="166588F0" w14:textId="77777777" w:rsidR="00B026E3" w:rsidRPr="009E2714" w:rsidRDefault="00B026E3">
            <w:pPr>
              <w:jc w:val="center"/>
              <w:rPr>
                <w:highlight w:val="yellow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_payback_period</w:t>
            </w:r>
            <w:r>
              <w:rPr>
                <w:highlight w:val="yellow"/>
                <w:lang w:val="en-US"/>
              </w:rPr>
              <w:t>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  <w:tc>
          <w:tcPr>
            <w:tcW w:w="2559" w:type="dxa"/>
            <w:shd w:val="clear" w:color="auto" w:fill="auto"/>
          </w:tcPr>
          <w:p w14:paraId="50432924" w14:textId="77777777" w:rsidR="00B026E3" w:rsidRPr="008975BC" w:rsidRDefault="00B026E3">
            <w:pPr>
              <w:jc w:val="center"/>
              <w:rPr>
                <w:highlight w:val="yellow"/>
                <w:lang w:val="en-US"/>
              </w:rPr>
            </w:pPr>
            <w:r w:rsidRPr="00C122D6">
              <w:rPr>
                <w:highlight w:val="yellow"/>
                <w:lang w:val="en-US"/>
              </w:rPr>
              <w:t>&lt;</w:t>
            </w:r>
            <w:r>
              <w:rPr>
                <w:highlight w:val="yellow"/>
                <w:lang w:val="en-US"/>
              </w:rPr>
              <w:t>CER</w:t>
            </w:r>
            <w:r w:rsidRPr="00C122D6">
              <w:rPr>
                <w:highlight w:val="yellow"/>
                <w:lang w:val="en-US"/>
              </w:rPr>
              <w:t>_</w:t>
            </w:r>
            <w:r>
              <w:rPr>
                <w:highlight w:val="yellow"/>
                <w:lang w:val="en-US"/>
              </w:rPr>
              <w:t>PNRR_</w:t>
            </w:r>
            <w:r w:rsidRPr="00C122D6">
              <w:rPr>
                <w:highlight w:val="yellow"/>
                <w:lang w:val="en-US"/>
              </w:rPr>
              <w:t>payback_period</w:t>
            </w:r>
            <w:r>
              <w:rPr>
                <w:highlight w:val="yellow"/>
                <w:lang w:val="en-US"/>
              </w:rPr>
              <w:t>_cons</w:t>
            </w:r>
            <w:r w:rsidRPr="00C122D6">
              <w:rPr>
                <w:highlight w:val="yellow"/>
                <w:lang w:val="en-US"/>
              </w:rPr>
              <w:t>&gt;</w:t>
            </w:r>
          </w:p>
        </w:tc>
      </w:tr>
    </w:tbl>
    <w:p w14:paraId="16BE406F" w14:textId="79F81886" w:rsidR="00C6798D" w:rsidRPr="00F71114" w:rsidRDefault="00B026E3" w:rsidP="0084419F">
      <w:pPr>
        <w:jc w:val="center"/>
      </w:pPr>
      <w:r w:rsidRPr="00912041">
        <w:rPr>
          <w:highlight w:val="yellow"/>
        </w:rPr>
        <w:t xml:space="preserve">&lt;Cumulata dei flussi di cassa annuali attualizzati - Scenari a confronto - utente </w:t>
      </w:r>
      <w:r w:rsidR="00AC20F9">
        <w:rPr>
          <w:highlight w:val="yellow"/>
        </w:rPr>
        <w:t>c</w:t>
      </w:r>
      <w:r w:rsidRPr="00912041">
        <w:rPr>
          <w:highlight w:val="yellow"/>
        </w:rPr>
        <w:t>o</w:t>
      </w:r>
      <w:r w:rsidR="00AC20F9">
        <w:rPr>
          <w:highlight w:val="yellow"/>
        </w:rPr>
        <w:t>n</w:t>
      </w:r>
      <w:r w:rsidRPr="00912041">
        <w:rPr>
          <w:highlight w:val="yellow"/>
        </w:rPr>
        <w:t>sumer.png&gt;</w:t>
      </w:r>
    </w:p>
    <w:p w14:paraId="0753D016" w14:textId="39FEAD13" w:rsidR="007F7983" w:rsidRPr="00F71114" w:rsidRDefault="00046EA2" w:rsidP="00B026E3">
      <w:r w:rsidRPr="00F71114">
        <w:t xml:space="preserve">Di seguito è riportato il confronto </w:t>
      </w:r>
      <w:r w:rsidR="007F7983" w:rsidRPr="00F71114">
        <w:t xml:space="preserve">dei </w:t>
      </w:r>
      <w:r w:rsidR="007F7983" w:rsidRPr="00F71114">
        <w:rPr>
          <w:b/>
          <w:bCs/>
        </w:rPr>
        <w:t>costi</w:t>
      </w:r>
      <w:r w:rsidR="007F7983" w:rsidRPr="00F71114">
        <w:t xml:space="preserve"> sostenuti complessivamente dall’utente, definiti come la somma dei flussi di cassa negativi direttamente e indirettamente legati </w:t>
      </w:r>
      <w:bookmarkStart w:id="12" w:name="_Hlk190876397"/>
      <w:r w:rsidR="007F7983" w:rsidRPr="00F71114">
        <w:t>all’</w:t>
      </w:r>
      <w:r w:rsidR="000949E9">
        <w:t>approvvigionamento</w:t>
      </w:r>
      <w:r w:rsidR="007F7983" w:rsidRPr="00F71114">
        <w:t xml:space="preserve"> </w:t>
      </w:r>
      <w:bookmarkEnd w:id="12"/>
      <w:r w:rsidR="007F7983" w:rsidRPr="00F71114">
        <w:t>di energia elettrica. Questi costi tengono quindi in considerazioni bollette</w:t>
      </w:r>
      <w:r w:rsidR="002E1B6F" w:rsidRPr="00F71114">
        <w:t xml:space="preserve"> di fornitura dell’energia prelevata da rete</w:t>
      </w:r>
      <w:r w:rsidR="007F7983" w:rsidRPr="00F71114">
        <w:t>, investimenti</w:t>
      </w:r>
      <w:r w:rsidR="002E1B6F" w:rsidRPr="00F71114">
        <w:t xml:space="preserve"> sostenuti per </w:t>
      </w:r>
      <w:r w:rsidR="00AC20F9">
        <w:t>l’</w:t>
      </w:r>
      <w:r w:rsidR="002E1B6F" w:rsidRPr="00F71114">
        <w:t xml:space="preserve">impianto fotovoltaico e relativi costi operazionali (manutenzione, assicurazione, corrispettivi GSE), tasse (IRAP e IRES), interessi, costi di costituzione e gestione della CER. </w:t>
      </w:r>
    </w:p>
    <w:p w14:paraId="3FF6BD92" w14:textId="5D5C442A" w:rsidR="002E1B6F" w:rsidRPr="00F71114" w:rsidRDefault="002E1B6F" w:rsidP="00B026E3">
      <w:r w:rsidRPr="00F71114">
        <w:t xml:space="preserve">Analogamente sono riportati i </w:t>
      </w:r>
      <w:r w:rsidRPr="00F71114">
        <w:rPr>
          <w:b/>
          <w:bCs/>
        </w:rPr>
        <w:t>ricavi</w:t>
      </w:r>
      <w:r w:rsidRPr="00F71114">
        <w:t xml:space="preserve"> diretti legati alla presenza di impianti fotovoltaici e/o partecipazione alla comunità energetica (Ritiro Dedicato, valorizzazione Arera e incentivi). </w:t>
      </w:r>
    </w:p>
    <w:p w14:paraId="25A5DFF5" w14:textId="0907B48F" w:rsidR="00565BA3" w:rsidRPr="00F71114" w:rsidRDefault="00565BA3" w:rsidP="00B026E3">
      <w:r w:rsidRPr="00F71114">
        <w:t>Il calcolo viene effettuato dividendo la somma dei flussi di cassa nell’intera vita utile del progetto, inclusivi di inflazione, e divisa per il numero di anni considerato (2</w:t>
      </w:r>
      <w:r w:rsidR="00AC20F9">
        <w:t>0</w:t>
      </w:r>
      <w:r w:rsidRPr="00F71114">
        <w:t xml:space="preserve"> in questo caso), per riportare un anno medio. </w:t>
      </w:r>
    </w:p>
    <w:p w14:paraId="5E2DEE6B" w14:textId="05C82890" w:rsidR="00716BCC" w:rsidRPr="00F71114" w:rsidRDefault="00B026E3" w:rsidP="00B026E3">
      <w:pPr>
        <w:jc w:val="center"/>
      </w:pPr>
      <w:r w:rsidRPr="00302B5B">
        <w:rPr>
          <w:highlight w:val="yellow"/>
        </w:rPr>
        <w:t xml:space="preserve">&lt;Costi e ricavi per scenario - utente </w:t>
      </w:r>
      <w:r>
        <w:rPr>
          <w:highlight w:val="yellow"/>
        </w:rPr>
        <w:t>c</w:t>
      </w:r>
      <w:r w:rsidRPr="00302B5B">
        <w:rPr>
          <w:highlight w:val="yellow"/>
        </w:rPr>
        <w:t>o</w:t>
      </w:r>
      <w:r>
        <w:rPr>
          <w:highlight w:val="yellow"/>
        </w:rPr>
        <w:t>n</w:t>
      </w:r>
      <w:r w:rsidRPr="00302B5B">
        <w:rPr>
          <w:highlight w:val="yellow"/>
        </w:rPr>
        <w:t>sumer.png&gt;</w:t>
      </w:r>
    </w:p>
    <w:p w14:paraId="22599AD7" w14:textId="09677B76" w:rsidR="006A066C" w:rsidRPr="00F71114" w:rsidRDefault="002E1B6F" w:rsidP="00B026E3">
      <w:r w:rsidRPr="00F71114">
        <w:t xml:space="preserve">Viene infine riportata </w:t>
      </w:r>
      <w:r w:rsidR="00046EA2" w:rsidRPr="00F71114">
        <w:t xml:space="preserve">la </w:t>
      </w:r>
      <w:r w:rsidR="00046EA2" w:rsidRPr="00F71114">
        <w:rPr>
          <w:b/>
          <w:bCs/>
        </w:rPr>
        <w:t>spesa energetica</w:t>
      </w:r>
      <w:r w:rsidR="00046EA2" w:rsidRPr="00F71114">
        <w:t xml:space="preserve"> complessiva dell’utente</w:t>
      </w:r>
      <w:r w:rsidR="00C93D9B" w:rsidRPr="00F71114">
        <w:t xml:space="preserve"> (riportata in arancione)</w:t>
      </w:r>
      <w:r w:rsidR="00046EA2" w:rsidRPr="00F71114">
        <w:t>, definita come</w:t>
      </w:r>
      <w:r w:rsidRPr="00F71114">
        <w:t xml:space="preserve"> la differenza tra costi e ricavi, parametro che se messo a confronto con lo scenario BAU di riferimento, rende esplicito il </w:t>
      </w:r>
      <w:r w:rsidRPr="00F71114">
        <w:rPr>
          <w:b/>
          <w:bCs/>
        </w:rPr>
        <w:t>risparmio</w:t>
      </w:r>
      <w:r w:rsidRPr="00F71114">
        <w:t xml:space="preserve"> complessivo legato ad ogni scenario</w:t>
      </w:r>
      <w:r w:rsidR="00C93D9B" w:rsidRPr="00F71114">
        <w:t xml:space="preserve"> (evidenziato in rosso), che corrisponde quindi alla somma dei benefici diretti (incentivi, ritiro dedicato, valorizzazione) al netto dei costi sostenuti.</w:t>
      </w:r>
    </w:p>
    <w:p w14:paraId="6D92AAC4" w14:textId="587483DF" w:rsidR="00046EA2" w:rsidRPr="00B026E3" w:rsidRDefault="00B026E3" w:rsidP="00B026E3">
      <w:pPr>
        <w:jc w:val="center"/>
        <w:rPr>
          <w:highlight w:val="yellow"/>
        </w:rPr>
      </w:pPr>
      <w:r w:rsidRPr="007F1CA0">
        <w:rPr>
          <w:highlight w:val="yellow"/>
        </w:rPr>
        <w:t>&lt;Spesa energetica complessiva per scenario</w:t>
      </w:r>
      <w:r>
        <w:rPr>
          <w:highlight w:val="yellow"/>
        </w:rPr>
        <w:t xml:space="preserve"> </w:t>
      </w:r>
      <w:r w:rsidRPr="007F1CA0">
        <w:rPr>
          <w:highlight w:val="yellow"/>
        </w:rPr>
        <w:t xml:space="preserve">- </w:t>
      </w:r>
      <w:r>
        <w:rPr>
          <w:highlight w:val="yellow"/>
        </w:rPr>
        <w:t>u</w:t>
      </w:r>
      <w:r w:rsidRPr="007F1CA0">
        <w:rPr>
          <w:highlight w:val="yellow"/>
        </w:rPr>
        <w:t xml:space="preserve">tente </w:t>
      </w:r>
      <w:r>
        <w:rPr>
          <w:highlight w:val="yellow"/>
        </w:rPr>
        <w:t>con</w:t>
      </w:r>
      <w:r w:rsidRPr="007F1CA0">
        <w:rPr>
          <w:highlight w:val="yellow"/>
        </w:rPr>
        <w:t>sumer.png&gt;</w:t>
      </w:r>
    </w:p>
    <w:p w14:paraId="4E91924F" w14:textId="0C2AC20F" w:rsidR="00046EA2" w:rsidRPr="00F71114" w:rsidRDefault="00046EA2" w:rsidP="000949E9">
      <w:pPr>
        <w:pStyle w:val="Heading1"/>
        <w:rPr>
          <w:color w:val="215E99" w:themeColor="text2" w:themeTint="BF"/>
        </w:rPr>
      </w:pPr>
      <w:bookmarkStart w:id="13" w:name="_Toc168928345"/>
      <w:r w:rsidRPr="00F71114">
        <w:rPr>
          <w:color w:val="215E99" w:themeColor="text2" w:themeTint="BF"/>
        </w:rPr>
        <w:t>Conclusioni e riferimenti</w:t>
      </w:r>
      <w:bookmarkEnd w:id="13"/>
    </w:p>
    <w:p w14:paraId="1492FFB3" w14:textId="77777777" w:rsidR="00B026E3" w:rsidRPr="00383E59" w:rsidRDefault="00B026E3" w:rsidP="00B026E3">
      <w:bookmarkStart w:id="14" w:name="_Hlk169767133"/>
      <w:bookmarkStart w:id="15" w:name="_Hlk169779483"/>
      <w:r w:rsidRPr="002013BC">
        <w:t>In conclusione, le simulazioni presentate, che ricoprono un ruolo puramente esemplificativo, mettono in evidenza come l’autoconsumo diretto e diffuso offrano numerosi benefici</w:t>
      </w:r>
      <w:r w:rsidRPr="00383E59">
        <w:t xml:space="preserve"> economici, ambientali e sociali. </w:t>
      </w:r>
    </w:p>
    <w:p w14:paraId="66683CC2" w14:textId="77777777" w:rsidR="00B026E3" w:rsidRPr="00383E59" w:rsidRDefault="00B026E3" w:rsidP="00B026E3">
      <w:r w:rsidRPr="00383E59">
        <w:t>Data però la varietà di casistiche e peculiarità specifiche del settore industriale, si invita a svolgere studi di fattibilità dedicati in grado di valutare in maniere adeguata le specificità di ogni caso studio.</w:t>
      </w:r>
    </w:p>
    <w:bookmarkEnd w:id="14"/>
    <w:bookmarkEnd w:id="15"/>
    <w:p w14:paraId="77B2B8D2" w14:textId="77777777" w:rsidR="005A7F08" w:rsidRPr="007216F6" w:rsidRDefault="005A7F08" w:rsidP="005A7F08">
      <w:r w:rsidRPr="007216F6">
        <w:t xml:space="preserve">Riferimenti: </w:t>
      </w:r>
    </w:p>
    <w:p w14:paraId="1E69476D" w14:textId="77777777" w:rsidR="005A7F08" w:rsidRPr="002013BC" w:rsidRDefault="005A7F08" w:rsidP="005A7F08">
      <w:pPr>
        <w:pStyle w:val="ListParagraph"/>
        <w:numPr>
          <w:ilvl w:val="0"/>
          <w:numId w:val="14"/>
        </w:numPr>
        <w:shd w:val="clear" w:color="auto" w:fill="auto"/>
        <w:spacing w:before="0" w:beforeAutospacing="0" w:after="160" w:afterAutospacing="0" w:line="259" w:lineRule="auto"/>
        <w:jc w:val="left"/>
      </w:pPr>
      <w:r w:rsidRPr="002013BC">
        <w:t xml:space="preserve">Vuoi fare una simulazione di una CER? </w:t>
      </w:r>
      <w:bookmarkStart w:id="16" w:name="_Hlk169767348"/>
      <w:r w:rsidRPr="002013BC">
        <w:t xml:space="preserve">Consulta il </w:t>
      </w:r>
      <w:hyperlink r:id="rId10" w:history="1">
        <w:r w:rsidRPr="002013BC">
          <w:rPr>
            <w:rStyle w:val="Hyperlink"/>
          </w:rPr>
          <w:t>simulatore del GSE</w:t>
        </w:r>
      </w:hyperlink>
      <w:bookmarkEnd w:id="16"/>
    </w:p>
    <w:p w14:paraId="47E5F33E" w14:textId="2F29E40C" w:rsidR="005A7F08" w:rsidRPr="002013BC" w:rsidRDefault="005A7F08" w:rsidP="005A7F08">
      <w:pPr>
        <w:pStyle w:val="ListParagraph"/>
        <w:numPr>
          <w:ilvl w:val="0"/>
          <w:numId w:val="14"/>
        </w:numPr>
        <w:shd w:val="clear" w:color="auto" w:fill="auto"/>
        <w:spacing w:before="0" w:beforeAutospacing="0" w:after="160" w:afterAutospacing="0" w:line="259" w:lineRule="auto"/>
        <w:jc w:val="left"/>
      </w:pPr>
      <w:r w:rsidRPr="002013BC">
        <w:lastRenderedPageBreak/>
        <w:t xml:space="preserve">Sei interessato a costituire una CER e vuoi sapere se ci sono imprese o CER in costituzione vicino a te? Consulta </w:t>
      </w:r>
      <w:proofErr w:type="spellStart"/>
      <w:r w:rsidRPr="002013BC">
        <w:t>la</w:t>
      </w:r>
      <w:proofErr w:type="spellEnd"/>
      <w:r w:rsidRPr="002013BC">
        <w:t xml:space="preserve"> </w:t>
      </w:r>
      <w:hyperlink r:id="rId11" w:anchor="/viewer/openlayers/769" w:history="1">
        <w:hyperlink r:id="rId12" w:anchor="/viewer/openlayers/769" w:history="1">
          <w:r w:rsidRPr="005F7510">
            <w:rPr>
              <w:rStyle w:val="Hyperlink"/>
            </w:rPr>
            <w:t>mappa</w:t>
          </w:r>
        </w:hyperlink>
        <w:r w:rsidRPr="005F7510">
          <w:rPr>
            <w:rStyle w:val="Hyperlink"/>
          </w:rPr>
          <w:t xml:space="preserve"> delle </w:t>
        </w:r>
        <w:r>
          <w:rPr>
            <w:rStyle w:val="Hyperlink"/>
          </w:rPr>
          <w:t>CA</w:t>
        </w:r>
        <w:r w:rsidRPr="005F7510">
          <w:rPr>
            <w:rStyle w:val="Hyperlink"/>
          </w:rPr>
          <w:t>CER di RSE</w:t>
        </w:r>
      </w:hyperlink>
      <w:r w:rsidRPr="002013BC">
        <w:t xml:space="preserve"> attivate e in fase di costituzione</w:t>
      </w:r>
      <w:r>
        <w:t xml:space="preserve">, o la </w:t>
      </w:r>
      <w:hyperlink r:id="rId13" w:history="1">
        <w:r w:rsidRPr="005F7510">
          <w:rPr>
            <w:rStyle w:val="Hyperlink"/>
          </w:rPr>
          <w:t xml:space="preserve">mappa </w:t>
        </w:r>
        <w:r>
          <w:rPr>
            <w:rStyle w:val="Hyperlink"/>
          </w:rPr>
          <w:t xml:space="preserve">delle cabine primarie </w:t>
        </w:r>
        <w:r w:rsidRPr="005F7510">
          <w:rPr>
            <w:rStyle w:val="Hyperlink"/>
          </w:rPr>
          <w:t>del GSE</w:t>
        </w:r>
      </w:hyperlink>
      <w:r>
        <w:t xml:space="preserve"> con quelle già registrate. </w:t>
      </w:r>
    </w:p>
    <w:p w14:paraId="5BB178C6" w14:textId="77777777" w:rsidR="005A7F08" w:rsidRPr="00B01297" w:rsidRDefault="005A7F08" w:rsidP="005A7F08">
      <w:r w:rsidRPr="002013BC">
        <w:t>Il contenuto di questo documento è proprietà intellettuale degli autori</w:t>
      </w:r>
      <w:r w:rsidRPr="00515AF6">
        <w:t xml:space="preserve">. È vietata la copia, riproduzione, redistribuzione e la pubblicazione dei contenuti e immagini non autorizzate espressamente </w:t>
      </w:r>
      <w:r w:rsidRPr="007216F6">
        <w:t>degli autori.</w:t>
      </w:r>
    </w:p>
    <w:p w14:paraId="1610B3DC" w14:textId="65C2A7F8" w:rsidR="00263D07" w:rsidRPr="000D3985" w:rsidRDefault="00263D07" w:rsidP="005A7F08"/>
    <w:sectPr w:rsidR="00263D07" w:rsidRPr="000D3985" w:rsidSect="00975A98">
      <w:headerReference w:type="default" r:id="rId14"/>
      <w:footerReference w:type="default" r:id="rId15"/>
      <w:pgSz w:w="11906" w:h="16838"/>
      <w:pgMar w:top="720" w:right="720" w:bottom="720" w:left="720" w:header="1871" w:footer="1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0CCF3" w14:textId="77777777" w:rsidR="00790E93" w:rsidRDefault="00790E93" w:rsidP="00A658E5">
      <w:r>
        <w:separator/>
      </w:r>
    </w:p>
  </w:endnote>
  <w:endnote w:type="continuationSeparator" w:id="0">
    <w:p w14:paraId="6C9016E9" w14:textId="77777777" w:rsidR="00790E93" w:rsidRDefault="00790E93" w:rsidP="00A6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9C32" w14:textId="128726A1" w:rsidR="009D62DB" w:rsidRDefault="009D62DB" w:rsidP="00A658E5"/>
  <w:p w14:paraId="3DAFB3A9" w14:textId="15A2A3FF" w:rsidR="00870004" w:rsidRDefault="00975A98" w:rsidP="00A658E5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68278" w14:textId="77777777" w:rsidR="00790E93" w:rsidRDefault="00790E93" w:rsidP="00A658E5">
      <w:r>
        <w:separator/>
      </w:r>
    </w:p>
  </w:footnote>
  <w:footnote w:type="continuationSeparator" w:id="0">
    <w:p w14:paraId="77447504" w14:textId="77777777" w:rsidR="00790E93" w:rsidRDefault="00790E93" w:rsidP="00A6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1A7D3" w14:textId="1B985161" w:rsidR="00A658E5" w:rsidRDefault="00A658E5" w:rsidP="00A658E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C00B97" wp14:editId="201CFEC3">
          <wp:simplePos x="0" y="0"/>
          <wp:positionH relativeFrom="margin">
            <wp:posOffset>4781550</wp:posOffset>
          </wp:positionH>
          <wp:positionV relativeFrom="margin">
            <wp:posOffset>-903968</wp:posOffset>
          </wp:positionV>
          <wp:extent cx="1928495" cy="497840"/>
          <wp:effectExtent l="0" t="0" r="0" b="0"/>
          <wp:wrapSquare wrapText="bothSides"/>
          <wp:docPr id="1160628992" name="Picture 2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628992" name="Picture 2" descr="A logo for a company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592" b="16353"/>
                  <a:stretch/>
                </pic:blipFill>
                <pic:spPr bwMode="auto">
                  <a:xfrm>
                    <a:off x="0" y="0"/>
                    <a:ext cx="1928495" cy="497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F287DAF" wp14:editId="0B260E7D">
          <wp:simplePos x="0" y="0"/>
          <wp:positionH relativeFrom="margin">
            <wp:posOffset>-27940</wp:posOffset>
          </wp:positionH>
          <wp:positionV relativeFrom="margin">
            <wp:posOffset>-962478</wp:posOffset>
          </wp:positionV>
          <wp:extent cx="2368062" cy="557284"/>
          <wp:effectExtent l="0" t="0" r="0" b="0"/>
          <wp:wrapSquare wrapText="bothSides"/>
          <wp:docPr id="927061809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061809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062" cy="557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67F2B15" w14:textId="77777777" w:rsidR="00A658E5" w:rsidRDefault="00A65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E0474A6"/>
    <w:multiLevelType w:val="hybridMultilevel"/>
    <w:tmpl w:val="CDD2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235"/>
    <w:multiLevelType w:val="hybridMultilevel"/>
    <w:tmpl w:val="A45AC2F6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35A81"/>
    <w:multiLevelType w:val="hybridMultilevel"/>
    <w:tmpl w:val="64627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2AA6"/>
    <w:multiLevelType w:val="hybridMultilevel"/>
    <w:tmpl w:val="5CDE12FA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46CCE"/>
    <w:multiLevelType w:val="hybridMultilevel"/>
    <w:tmpl w:val="1FBCE5E6"/>
    <w:lvl w:ilvl="0" w:tplc="0458F2F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E2636"/>
    <w:multiLevelType w:val="hybridMultilevel"/>
    <w:tmpl w:val="CFA21F54"/>
    <w:lvl w:ilvl="0" w:tplc="3E98BE24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13300"/>
    <w:multiLevelType w:val="hybridMultilevel"/>
    <w:tmpl w:val="EB746F66"/>
    <w:lvl w:ilvl="0" w:tplc="1C22A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04075"/>
    <w:multiLevelType w:val="hybridMultilevel"/>
    <w:tmpl w:val="36A4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A364D"/>
    <w:multiLevelType w:val="hybridMultilevel"/>
    <w:tmpl w:val="675C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A0703"/>
    <w:multiLevelType w:val="hybridMultilevel"/>
    <w:tmpl w:val="646270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81AFA"/>
    <w:multiLevelType w:val="hybridMultilevel"/>
    <w:tmpl w:val="5C2EC0E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602802325">
    <w:abstractNumId w:val="9"/>
  </w:num>
  <w:num w:numId="2" w16cid:durableId="1678653989">
    <w:abstractNumId w:val="7"/>
  </w:num>
  <w:num w:numId="3" w16cid:durableId="1560824006">
    <w:abstractNumId w:val="6"/>
  </w:num>
  <w:num w:numId="4" w16cid:durableId="587231334">
    <w:abstractNumId w:val="6"/>
    <w:lvlOverride w:ilvl="0">
      <w:startOverride w:val="1"/>
    </w:lvlOverride>
  </w:num>
  <w:num w:numId="5" w16cid:durableId="350381567">
    <w:abstractNumId w:val="5"/>
  </w:num>
  <w:num w:numId="6" w16cid:durableId="1100416268">
    <w:abstractNumId w:val="3"/>
  </w:num>
  <w:num w:numId="7" w16cid:durableId="1668971525">
    <w:abstractNumId w:val="0"/>
  </w:num>
  <w:num w:numId="8" w16cid:durableId="1614239761">
    <w:abstractNumId w:val="6"/>
    <w:lvlOverride w:ilvl="0">
      <w:startOverride w:val="1"/>
    </w:lvlOverride>
  </w:num>
  <w:num w:numId="9" w16cid:durableId="590771604">
    <w:abstractNumId w:val="11"/>
  </w:num>
  <w:num w:numId="10" w16cid:durableId="18552126">
    <w:abstractNumId w:val="1"/>
  </w:num>
  <w:num w:numId="11" w16cid:durableId="531576876">
    <w:abstractNumId w:val="10"/>
  </w:num>
  <w:num w:numId="12" w16cid:durableId="767894641">
    <w:abstractNumId w:val="4"/>
  </w:num>
  <w:num w:numId="13" w16cid:durableId="775750986">
    <w:abstractNumId w:val="2"/>
  </w:num>
  <w:num w:numId="14" w16cid:durableId="811100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04"/>
    <w:rsid w:val="000327E9"/>
    <w:rsid w:val="0003532D"/>
    <w:rsid w:val="00046EA2"/>
    <w:rsid w:val="00087E12"/>
    <w:rsid w:val="000949E9"/>
    <w:rsid w:val="000C6EEE"/>
    <w:rsid w:val="000D3985"/>
    <w:rsid w:val="000D6DA6"/>
    <w:rsid w:val="000F7D69"/>
    <w:rsid w:val="0015208F"/>
    <w:rsid w:val="00192843"/>
    <w:rsid w:val="001B5D37"/>
    <w:rsid w:val="001F5E5A"/>
    <w:rsid w:val="00240BAE"/>
    <w:rsid w:val="00263D07"/>
    <w:rsid w:val="002736A8"/>
    <w:rsid w:val="00291D07"/>
    <w:rsid w:val="002A2CAD"/>
    <w:rsid w:val="002B2E91"/>
    <w:rsid w:val="002D3949"/>
    <w:rsid w:val="002E1B6F"/>
    <w:rsid w:val="002E43FB"/>
    <w:rsid w:val="0034758F"/>
    <w:rsid w:val="00381761"/>
    <w:rsid w:val="003A4EE2"/>
    <w:rsid w:val="003B67D5"/>
    <w:rsid w:val="004055C2"/>
    <w:rsid w:val="00421CF3"/>
    <w:rsid w:val="0043005D"/>
    <w:rsid w:val="004403E2"/>
    <w:rsid w:val="00460472"/>
    <w:rsid w:val="00487937"/>
    <w:rsid w:val="004920B2"/>
    <w:rsid w:val="0049764D"/>
    <w:rsid w:val="004B2200"/>
    <w:rsid w:val="004D647C"/>
    <w:rsid w:val="00510F1B"/>
    <w:rsid w:val="00565BA3"/>
    <w:rsid w:val="005939B7"/>
    <w:rsid w:val="005A7F08"/>
    <w:rsid w:val="005B038B"/>
    <w:rsid w:val="005B09C9"/>
    <w:rsid w:val="005C10EC"/>
    <w:rsid w:val="005D7CDD"/>
    <w:rsid w:val="005F0EA2"/>
    <w:rsid w:val="005F689A"/>
    <w:rsid w:val="005F6B1F"/>
    <w:rsid w:val="0064318C"/>
    <w:rsid w:val="00674CE8"/>
    <w:rsid w:val="006A066C"/>
    <w:rsid w:val="006B65DA"/>
    <w:rsid w:val="006C1B0E"/>
    <w:rsid w:val="006C2B24"/>
    <w:rsid w:val="006D14A1"/>
    <w:rsid w:val="006F0FB3"/>
    <w:rsid w:val="006F291D"/>
    <w:rsid w:val="00716BCC"/>
    <w:rsid w:val="007363B6"/>
    <w:rsid w:val="00746562"/>
    <w:rsid w:val="00753225"/>
    <w:rsid w:val="00760760"/>
    <w:rsid w:val="00762052"/>
    <w:rsid w:val="00770844"/>
    <w:rsid w:val="0077676D"/>
    <w:rsid w:val="0078351B"/>
    <w:rsid w:val="00790E93"/>
    <w:rsid w:val="007A7729"/>
    <w:rsid w:val="007F7983"/>
    <w:rsid w:val="00824592"/>
    <w:rsid w:val="008263E8"/>
    <w:rsid w:val="008341AE"/>
    <w:rsid w:val="0084419F"/>
    <w:rsid w:val="008508C5"/>
    <w:rsid w:val="00870004"/>
    <w:rsid w:val="0087214F"/>
    <w:rsid w:val="008B3FE1"/>
    <w:rsid w:val="008B4547"/>
    <w:rsid w:val="008D747D"/>
    <w:rsid w:val="008E10AC"/>
    <w:rsid w:val="009430A9"/>
    <w:rsid w:val="00975A98"/>
    <w:rsid w:val="0098524B"/>
    <w:rsid w:val="00985C9C"/>
    <w:rsid w:val="009925C2"/>
    <w:rsid w:val="009D2C7A"/>
    <w:rsid w:val="009D62DB"/>
    <w:rsid w:val="009D7AB5"/>
    <w:rsid w:val="009F02F0"/>
    <w:rsid w:val="00A3162D"/>
    <w:rsid w:val="00A658E5"/>
    <w:rsid w:val="00A903DE"/>
    <w:rsid w:val="00A92D19"/>
    <w:rsid w:val="00AA1835"/>
    <w:rsid w:val="00AC20F9"/>
    <w:rsid w:val="00AD6EF1"/>
    <w:rsid w:val="00AE028F"/>
    <w:rsid w:val="00B026E3"/>
    <w:rsid w:val="00B0736C"/>
    <w:rsid w:val="00B224A6"/>
    <w:rsid w:val="00B328FF"/>
    <w:rsid w:val="00B479DF"/>
    <w:rsid w:val="00B527CC"/>
    <w:rsid w:val="00B5714D"/>
    <w:rsid w:val="00B63D11"/>
    <w:rsid w:val="00B64285"/>
    <w:rsid w:val="00B82518"/>
    <w:rsid w:val="00BC1E59"/>
    <w:rsid w:val="00BC29ED"/>
    <w:rsid w:val="00BD4C4A"/>
    <w:rsid w:val="00C12DEB"/>
    <w:rsid w:val="00C468DE"/>
    <w:rsid w:val="00C6798D"/>
    <w:rsid w:val="00C93D9B"/>
    <w:rsid w:val="00CC6960"/>
    <w:rsid w:val="00D0144A"/>
    <w:rsid w:val="00D132B6"/>
    <w:rsid w:val="00D51214"/>
    <w:rsid w:val="00D52920"/>
    <w:rsid w:val="00D56037"/>
    <w:rsid w:val="00D8139C"/>
    <w:rsid w:val="00D849A6"/>
    <w:rsid w:val="00DE0244"/>
    <w:rsid w:val="00E437EC"/>
    <w:rsid w:val="00E50025"/>
    <w:rsid w:val="00E6741B"/>
    <w:rsid w:val="00E96C6B"/>
    <w:rsid w:val="00EA3167"/>
    <w:rsid w:val="00EF32FF"/>
    <w:rsid w:val="00F03E28"/>
    <w:rsid w:val="00F40421"/>
    <w:rsid w:val="00F527AC"/>
    <w:rsid w:val="00F71114"/>
    <w:rsid w:val="00F72BCD"/>
    <w:rsid w:val="00F755B4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1B84F"/>
  <w15:chartTrackingRefBased/>
  <w15:docId w15:val="{8A86D680-C49F-4679-9BBC-6FEF4D0D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E5"/>
    <w:pPr>
      <w:shd w:val="clear" w:color="auto" w:fill="FFFFFF"/>
      <w:spacing w:before="100" w:beforeAutospacing="1" w:after="225" w:afterAutospacing="1" w:line="240" w:lineRule="auto"/>
      <w:jc w:val="both"/>
    </w:pPr>
    <w:rPr>
      <w:rFonts w:ascii="Poppins" w:eastAsia="Times New Roman" w:hAnsi="Poppins" w:cs="Poppins"/>
      <w:color w:val="000000"/>
      <w:kern w:val="0"/>
      <w:sz w:val="16"/>
      <w:szCs w:val="16"/>
      <w:lang w:eastAsia="it-IT"/>
      <w14:ligatures w14:val="none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0949E9"/>
    <w:pPr>
      <w:numPr>
        <w:numId w:val="3"/>
      </w:numPr>
      <w:spacing w:before="0" w:beforeAutospacing="0" w:after="225" w:afterAutospacing="0"/>
      <w:outlineLvl w:val="0"/>
    </w:pPr>
    <w:rPr>
      <w:rFonts w:ascii="Poppins" w:hAnsi="Poppins" w:cs="Poppins"/>
      <w:color w:val="215E99" w:themeColor="text2" w:themeTint="BF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949E9"/>
    <w:pPr>
      <w:spacing w:before="0" w:beforeAutospacing="0" w:after="225" w:afterAutospacing="0"/>
      <w:outlineLvl w:val="1"/>
    </w:pPr>
    <w:rPr>
      <w:rFonts w:ascii="Poppins" w:hAnsi="Poppins" w:cs="Poppins"/>
      <w:color w:val="215E99" w:themeColor="text2" w:themeTint="BF"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9E9"/>
    <w:rPr>
      <w:rFonts w:ascii="Poppins" w:eastAsia="Times New Roman" w:hAnsi="Poppins" w:cs="Poppins"/>
      <w:color w:val="215E99" w:themeColor="text2" w:themeTint="BF"/>
      <w:kern w:val="0"/>
      <w:sz w:val="24"/>
      <w:szCs w:val="24"/>
      <w:shd w:val="clear" w:color="auto" w:fill="FFFFFF"/>
      <w:lang w:eastAsia="it-I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49E9"/>
    <w:rPr>
      <w:rFonts w:ascii="Poppins" w:eastAsia="Times New Roman" w:hAnsi="Poppins" w:cs="Poppins"/>
      <w:color w:val="215E99" w:themeColor="text2" w:themeTint="BF"/>
      <w:kern w:val="0"/>
      <w:sz w:val="20"/>
      <w:szCs w:val="20"/>
      <w:shd w:val="clear" w:color="auto" w:fill="FFFFFF"/>
      <w:lang w:val="en-GB" w:eastAsia="it-I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9E9"/>
    <w:pPr>
      <w:spacing w:after="100"/>
      <w:contextualSpacing/>
    </w:pPr>
    <w:rPr>
      <w:rFonts w:eastAsiaTheme="majorEastAsia"/>
      <w:color w:val="156082" w:themeColor="accent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E9"/>
    <w:rPr>
      <w:rFonts w:ascii="Poppins" w:eastAsiaTheme="majorEastAsia" w:hAnsi="Poppins" w:cs="Poppins"/>
      <w:color w:val="156082" w:themeColor="accent1"/>
      <w:spacing w:val="-10"/>
      <w:kern w:val="28"/>
      <w:sz w:val="52"/>
      <w:szCs w:val="52"/>
      <w:shd w:val="clear" w:color="auto" w:fill="FFFFFF"/>
      <w:lang w:eastAsia="it-IT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0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000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0004"/>
  </w:style>
  <w:style w:type="paragraph" w:styleId="Footer">
    <w:name w:val="footer"/>
    <w:basedOn w:val="Normal"/>
    <w:link w:val="FooterChar"/>
    <w:uiPriority w:val="99"/>
    <w:unhideWhenUsed/>
    <w:rsid w:val="0087000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0004"/>
  </w:style>
  <w:style w:type="table" w:styleId="TableGrid">
    <w:name w:val="Table Grid"/>
    <w:basedOn w:val="TableNormal"/>
    <w:uiPriority w:val="39"/>
    <w:rsid w:val="00870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208F"/>
    <w:pPr>
      <w:spacing w:after="100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6EA2"/>
    <w:pPr>
      <w:spacing w:before="240" w:after="0"/>
      <w:outlineLvl w:val="9"/>
    </w:pPr>
    <w:rPr>
      <w:color w:val="215E99" w:themeColor="text2" w:themeTint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6E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6EA2"/>
    <w:rPr>
      <w:color w:val="467886" w:themeColor="hyperlink"/>
      <w:u w:val="single"/>
    </w:rPr>
  </w:style>
  <w:style w:type="paragraph" w:styleId="ListBullet3">
    <w:name w:val="List Bullet 3"/>
    <w:basedOn w:val="Normal"/>
    <w:uiPriority w:val="99"/>
    <w:unhideWhenUsed/>
    <w:rsid w:val="00046EA2"/>
    <w:pPr>
      <w:numPr>
        <w:numId w:val="7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85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C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C9C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03532D"/>
  </w:style>
  <w:style w:type="character" w:customStyle="1" w:styleId="eop">
    <w:name w:val="eop"/>
    <w:basedOn w:val="DefaultParagraphFont"/>
    <w:rsid w:val="0003532D"/>
  </w:style>
  <w:style w:type="character" w:styleId="UnresolvedMention">
    <w:name w:val="Unresolved Mention"/>
    <w:basedOn w:val="DefaultParagraphFont"/>
    <w:uiPriority w:val="99"/>
    <w:semiHidden/>
    <w:unhideWhenUsed/>
    <w:rsid w:val="00497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38B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B67D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67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67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se.it/servizi-per-te/autoconsumo/mappa-interattiva-delle-cabine-primari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eoportale.rse-web.i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oportale.rse-web.it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utoconsumo.gse.i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32BE9D638C6C46975AD9D72DE13E87" ma:contentTypeVersion="15" ma:contentTypeDescription="Creare un nuovo documento." ma:contentTypeScope="" ma:versionID="9ef030464826ea5be61f5bde2a171a83">
  <xsd:schema xmlns:xsd="http://www.w3.org/2001/XMLSchema" xmlns:xs="http://www.w3.org/2001/XMLSchema" xmlns:p="http://schemas.microsoft.com/office/2006/metadata/properties" xmlns:ns2="27557983-37e1-4d9d-a176-26c77874f561" xmlns:ns3="22cff414-ae85-40e6-833e-d709a4fb97dc" targetNamespace="http://schemas.microsoft.com/office/2006/metadata/properties" ma:root="true" ma:fieldsID="d1018d2e50bfbb751ef07d907b2daba3" ns2:_="" ns3:_="">
    <xsd:import namespace="27557983-37e1-4d9d-a176-26c77874f561"/>
    <xsd:import namespace="22cff414-ae85-40e6-833e-d709a4fb97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57983-37e1-4d9d-a176-26c77874f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502f2c28-4bbe-4c63-81d8-62e66c07bb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ff414-ae85-40e6-833e-d709a4fb97d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fcc1437-86b9-4278-a5ea-de64affad0b1}" ma:internalName="TaxCatchAll" ma:showField="CatchAllData" ma:web="22cff414-ae85-40e6-833e-d709a4fb97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42E2B-0A4F-482C-AE14-230E710561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E5795-FA3A-47CA-8EDE-C6116F66E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57983-37e1-4d9d-a176-26c77874f561"/>
    <ds:schemaRef ds:uri="22cff414-ae85-40e6-833e-d709a4fb9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EAAF6-3893-4712-99CC-84304691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4</Pages>
  <Words>1342</Words>
  <Characters>7652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Aleotti Federico (RSE)</cp:lastModifiedBy>
  <cp:revision>9</cp:revision>
  <cp:lastPrinted>2024-07-05T16:17:00Z</cp:lastPrinted>
  <dcterms:created xsi:type="dcterms:W3CDTF">2024-06-27T18:22:00Z</dcterms:created>
  <dcterms:modified xsi:type="dcterms:W3CDTF">2025-02-19T17:20:00Z</dcterms:modified>
</cp:coreProperties>
</file>