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ParkWise Nairobi</w:t>
      </w:r>
    </w:p>
    <w:p>
      <w:pPr>
        <w:spacing w:after="300"/>
      </w:pPr>
      <w:r>
        <w:rPr>
          <w:b/>
          <w:bCs/>
          <w:color w:val="2563EB"/>
          <w:sz w:val="24"/>
          <w:szCs w:val="24"/>
        </w:rPr>
        <w:t xml:space="preserve">Task Division: EDA to Modelling to UI and Deployment</w:t>
      </w:r>
    </w:p>
    <w:p>
      <w:pPr>
        <w:spacing w:after="40"/>
      </w:pPr>
      <w:r>
        <w:rPr>
          <w:i/>
          <w:iCs/>
          <w:color w:val="6B7280"/>
          <w:sz w:val="19"/>
          <w:szCs w:val="19"/>
        </w:rPr>
        <w:t xml:space="preserve">Team of 6 · Prepared 25 August 2026</w:t>
      </w:r>
    </w:p>
    <w:p>
      <w:pPr>
        <w:pBdr>
          <w:bottom w:val="single" w:color="D1D5DB" w:sz="6" w:space="1"/>
        </w:pBdr>
        <w:spacing w:after="240"/>
      </w:pPr>
    </w:p>
    <w:p>
      <w:pPr>
        <w:pStyle w:val="Heading1"/>
        <w:spacing w:after="160" w:before="320"/>
      </w:pPr>
      <w:r>
        <w:rPr>
          <w:b/>
          <w:bCs/>
          <w:color w:val="1F2937"/>
          <w:sz w:val="30"/>
          <w:szCs w:val="30"/>
        </w:rPr>
        <w:t xml:space="preserve">1. Where the project stands</w:t>
      </w:r>
    </w:p>
    <w:p>
      <w:pPr>
        <w:spacing w:after="140" w:line="276"/>
      </w:pPr>
      <w:r>
        <w:rPr>
          <w:color w:val="1F2937"/>
          <w:sz w:val="21"/>
          <w:szCs w:val="21"/>
        </w:rPr>
        <w:t xml:space="preserve">The data pipeline (parkwise_data_pipeline_v2.ipynb) already covers OSM extraction, pricing assignment, sentiment scoring, the traffic congestion proxy, spot-check calibration, and a data quality summary. This is CRISP-DM's Business Understanding, Data Understanding, and most of Data Preparation. What remains is Exploratory Data Analysis, Modelling, Evaluation, and Deployment (backend + UI).</w:t>
      </w:r>
    </w:p>
    <w:p>
      <w:pPr>
        <w:spacing w:after="140" w:line="276"/>
      </w:pPr>
      <w:r>
        <w:rPr>
          <w:color w:val="1F2937"/>
          <w:sz w:val="21"/>
          <w:szCs w:val="21"/>
        </w:rPr>
        <w:t xml:space="preserve">Real ground-truth spot-check data (nairobi_parking_spotcheck.csv) has been collected manually: 10 observations across a single morning (25 Aug, 09:00-11:37). collect_traffic_snapshot.py is running on a schedule and appending real TomTom-derived snapshots to nairobi_parking_traffic_log.csv (120 rows and counting as of this writing).</w:t>
      </w:r>
    </w:p>
    <w:p>
      <w:pPr>
        <w:pStyle w:val="Heading1"/>
        <w:spacing w:after="160" w:before="320"/>
      </w:pPr>
      <w:r>
        <w:rPr>
          <w:b/>
          <w:bCs/>
          <w:color w:val="1F2937"/>
          <w:sz w:val="30"/>
          <w:szCs w:val="30"/>
        </w:rPr>
        <w:t xml:space="preserve">2. Data collection cadence</w:t>
      </w:r>
    </w:p>
    <w:p>
      <w:pPr>
        <w:spacing w:after="140" w:line="276"/>
      </w:pPr>
      <w:r>
        <w:rPr>
          <w:color w:val="1F2937"/>
          <w:sz w:val="21"/>
          <w:szCs w:val="21"/>
        </w:rPr>
        <w:t xml:space="preserve">Decision: keep snapshot collection at 30-minute intervals. Do not move to 15-minute intervals.</w:t>
      </w:r>
    </w:p>
    <w:p>
      <w:pPr>
        <w:pStyle w:val="ListParagraph"/>
        <w:numPr>
          <w:ilvl w:val="0"/>
          <w:numId w:val="2"/>
        </w:numPr>
        <w:spacing w:after="60"/>
      </w:pPr>
      <w:r>
        <w:rPr>
          <w:color w:val="1F2937"/>
          <w:sz w:val="21"/>
          <w:szCs w:val="21"/>
        </w:rPr>
        <w:t xml:space="preserve">Traffic congestion at a single point rarely changes meaningfully within 15 minutes, so halving the interval mostly duplicates the same signal rather than adding new information. It inflates row counts without inflating real signal, which makes later calibration or model metrics look more confident than they should.</w:t>
      </w:r>
    </w:p>
    <w:p>
      <w:pPr>
        <w:pStyle w:val="ListParagraph"/>
        <w:numPr>
          <w:ilvl w:val="0"/>
          <w:numId w:val="2"/>
        </w:numPr>
        <w:spacing w:after="60"/>
      </w:pPr>
      <w:r>
        <w:rPr>
          <w:color w:val="1F2937"/>
          <w:sz w:val="21"/>
          <w:szCs w:val="21"/>
        </w:rPr>
        <w:t xml:space="preserve">collect_traffic_snapshot.py now samples 40 of the 500 facilities per run (N_SAMPLE_FACILITIES = 40, bumped up from 20). At 30-minute intervals over a 16-hour active window that is roughly 1,280 requests/day, comfortably under TomTom's free-tier limit of about 2,500/day, with margin left for spot-check calls.</w:t>
      </w:r>
    </w:p>
    <w:p>
      <w:pPr>
        <w:pStyle w:val="ListParagraph"/>
        <w:numPr>
          <w:ilvl w:val="0"/>
          <w:numId w:val="2"/>
        </w:numPr>
        <w:spacing w:after="60"/>
      </w:pPr>
      <w:r>
        <w:rPr>
          <w:color w:val="1F2937"/>
          <w:sz w:val="21"/>
          <w:szCs w:val="21"/>
        </w:rPr>
        <w:t xml:space="preserve">N_SAMPLE_FACILITIES takes the first N rows of nairobi_parking_traffic_signal.csv via .head(), which is file order, not a random or zone-balanced sample. Before trusting the wider coverage, check facilities.head(40)['zone'].value_counts() — if the first 40 rows cluster in one zone, switch to a stratified sample (proportional by zone) instead of relying on row order.</w:t>
      </w:r>
    </w:p>
    <w:p>
      <w:pPr>
        <w:pStyle w:val="ListParagraph"/>
        <w:numPr>
          <w:ilvl w:val="0"/>
          <w:numId w:val="2"/>
        </w:numPr>
        <w:spacing w:after="60"/>
      </w:pPr>
      <w:r>
        <w:rPr>
          <w:color w:val="1F2937"/>
          <w:sz w:val="21"/>
          <w:szCs w:val="21"/>
        </w:rPr>
        <w:t xml:space="preserve">Whatever real data exists by the start of modelling will still span only one day. Modelling begins on the pipeline and synthetic data first (see Person 3 below); the real log is swapped in once it covers multiple days, including at least one weekend day.</w:t>
      </w:r>
    </w:p>
    <w:p>
      <w:pPr>
        <w:spacing w:after="160" w:before="60"/>
      </w:pPr>
      <w:r>
        <w:rPr>
          <w:i/>
          <w:iCs/>
          <w:color w:val="6B7280"/>
          <w:sz w:val="20"/>
          <w:szCs w:val="20"/>
        </w:rPr>
        <w:t xml:space="preserve">Status: N_SAMPLE_FACILITIES has been bumped to 40; the 30-minute schedule is unchanged. Remaining action is to confirm the first 40 rows aren't zone-lopsided (see Person 1 tasks).</w:t>
      </w:r>
    </w:p>
    <w:p>
      <w:pPr>
        <w:pStyle w:val="Heading1"/>
        <w:spacing w:after="160" w:before="320"/>
      </w:pPr>
      <w:r>
        <w:rPr>
          <w:b/>
          <w:bCs/>
          <w:color w:val="1F2937"/>
          <w:sz w:val="30"/>
          <w:szCs w:val="30"/>
        </w:rPr>
        <w:t xml:space="preserve">3. Open item: ground-truth file naming</w:t>
      </w:r>
    </w:p>
    <w:p>
      <w:pPr>
        <w:spacing w:after="140" w:line="276"/>
      </w:pPr>
      <w:r>
        <w:rPr>
          <w:color w:val="1F2937"/>
          <w:sz w:val="21"/>
          <w:szCs w:val="21"/>
        </w:rPr>
        <w:t xml:space="preserve">In nairobi_parking_spotcheck.csv, parking_pressure_score is a rescaled copy of the real observed occupancy (ground_truth_occupancy / 100), not an independently measured signal. The same column name, parking_pressure_score, is reused elsewhere in the pipeline for the model-predicted value. Recommended fix before the team splits up: rename the spot-check column to observed_occupancy_fraction so the real, measured value is never confused with a modelled prediction downstream.</w:t>
      </w:r>
    </w:p>
    <w:p>
      <w:pPr>
        <w:pStyle w:val="Heading1"/>
        <w:spacing w:after="160" w:before="320"/>
      </w:pPr>
      <w:r>
        <w:rPr>
          <w:b/>
          <w:bCs/>
          <w:color w:val="1F2937"/>
          <w:sz w:val="30"/>
          <w:szCs w:val="30"/>
        </w:rPr>
        <w:t xml:space="preserve">4. Task assignments</w:t>
      </w:r>
    </w:p>
    <w:p>
      <w:pPr>
        <w:spacing w:after="140" w:line="276"/>
      </w:pPr>
      <w:r>
        <w:rPr>
          <w:color w:val="1F2937"/>
          <w:sz w:val="21"/>
          <w:szCs w:val="21"/>
        </w:rPr>
        <w:t xml:space="preserve">Six roles, one primary owner each. EDA, feature engineering, backend scaffolding, and UI can all start immediately in parallel. Real-data modelling is the one task gated by data volume.</w:t>
      </w:r>
    </w:p>
    <w:p>
      <w:pPr>
        <w:pStyle w:val="Heading3"/>
        <w:spacing w:after="100" w:before="280"/>
      </w:pPr>
      <w:r>
        <w:rPr>
          <w:b/>
          <w:bCs/>
          <w:color w:val="1F2937"/>
          <w:sz w:val="23"/>
          <w:szCs w:val="23"/>
        </w:rPr>
        <w:t xml:space="preserve">Person 1: Data Pipeline &amp; Collection Owner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Mar>
              <w:top w:type="dxa" w:w="80"/>
              <w:left w:type="dxa" w:w="100"/>
              <w:bottom w:type="dxa" w:w="80"/>
              <w:right w:type="dxa" w:w="100"/>
            </w:tcMar>
          </w:tcPr>
          <w:p>
            <w:pPr>
              <w:jc w:val="left"/>
            </w:pPr>
            <w:r>
              <w:rPr>
                <w:b/>
                <w:bCs/>
                <w:color w:val="1F2937"/>
                <w:sz w:val="20"/>
                <w:szCs w:val="20"/>
              </w:rPr>
              <w:t xml:space="preserve">Objective</w:t>
            </w:r>
          </w:p>
        </w:tc>
        <w:tc>
          <w:tcPr>
            <w:gridSpan w:val="2"/>
            <w:tcMar>
              <w:top w:type="dxa" w:w="80"/>
              <w:left w:type="dxa" w:w="100"/>
              <w:bottom w:type="dxa" w:w="80"/>
              <w:right w:type="dxa" w:w="100"/>
            </w:tcMar>
          </w:tcPr>
          <w:p>
            <w:r>
              <w:rPr>
                <w:color w:val="1F2937"/>
                <w:sz w:val="20"/>
                <w:szCs w:val="20"/>
              </w:rPr>
              <w:t xml:space="preserve">Keep the real-data pipeline healthy and growing; close the ground-truth naming issue.</w:t>
            </w:r>
          </w:p>
        </w:tc>
      </w:tr>
      <w:tr>
        <w:tc>
          <w:tcPr>
            <w:tcW w:type="dxa" w:w="1700"/>
            <w:tcMar>
              <w:top w:type="dxa" w:w="80"/>
              <w:left w:type="dxa" w:w="100"/>
              <w:bottom w:type="dxa" w:w="80"/>
              <w:right w:type="dxa" w:w="100"/>
            </w:tcMar>
          </w:tcPr>
          <w:p>
            <w:pPr>
              <w:jc w:val="left"/>
            </w:pPr>
            <w:r>
              <w:rPr>
                <w:b/>
                <w:bCs/>
                <w:color w:val="1F2937"/>
                <w:sz w:val="20"/>
                <w:szCs w:val="20"/>
              </w:rPr>
              <w:t xml:space="preserve">Starts</w:t>
            </w:r>
          </w:p>
        </w:tc>
        <w:tc>
          <w:tcPr>
            <w:gridSpan w:val="2"/>
            <w:tcMar>
              <w:top w:type="dxa" w:w="80"/>
              <w:left w:type="dxa" w:w="100"/>
              <w:bottom w:type="dxa" w:w="80"/>
              <w:right w:type="dxa" w:w="100"/>
            </w:tcMar>
          </w:tcPr>
          <w:p>
            <w:r>
              <w:rPr>
                <w:color w:val="1F2937"/>
                <w:sz w:val="20"/>
                <w:szCs w:val="20"/>
              </w:rPr>
              <w:t xml:space="preserve">Immediately</w:t>
            </w:r>
          </w:p>
        </w:tc>
      </w:tr>
      <w:tr>
        <w:tc>
          <w:tcPr>
            <w:tcW w:type="dxa" w:w="1700"/>
            <w:tcMar>
              <w:top w:type="dxa" w:w="80"/>
              <w:left w:type="dxa" w:w="100"/>
              <w:bottom w:type="dxa" w:w="80"/>
              <w:right w:type="dxa" w:w="100"/>
            </w:tcMar>
          </w:tcPr>
          <w:p>
            <w:pPr>
              <w:jc w:val="left"/>
            </w:pPr>
            <w:r>
              <w:rPr>
                <w:b/>
                <w:bCs/>
                <w:color w:val="1F2937"/>
                <w:sz w:val="20"/>
                <w:szCs w:val="20"/>
              </w:rPr>
              <w:t xml:space="preserve">Tasks</w:t>
            </w:r>
          </w:p>
        </w:tc>
        <w:tc>
          <w:tcPr>
            <w:gridSpan w:val="2"/>
            <w:tcMar>
              <w:top w:type="dxa" w:w="80"/>
              <w:left w:type="dxa" w:w="100"/>
              <w:bottom w:type="dxa" w:w="80"/>
              <w:right w:type="dxa" w:w="100"/>
            </w:tcMar>
          </w:tcPr>
          <w:p>
            <w:pPr>
              <w:pStyle w:val="ListParagraph"/>
              <w:numPr>
                <w:ilvl w:val="0"/>
                <w:numId w:val="2"/>
              </w:numPr>
              <w:spacing w:after="40"/>
            </w:pPr>
            <w:r>
              <w:rPr>
                <w:color w:val="1F2937"/>
                <w:sz w:val="20"/>
                <w:szCs w:val="20"/>
              </w:rPr>
              <w:t xml:space="preserve">Monitor collect_traffic_snapshot.py daily: confirm the log is growing, watch for chains of api_call_failed rows, confirm the TomTom key hasn't hit its rate limit.</w:t>
            </w:r>
          </w:p>
          <w:p>
            <w:pPr>
              <w:pStyle w:val="ListParagraph"/>
              <w:numPr>
                <w:ilvl w:val="0"/>
                <w:numId w:val="2"/>
              </w:numPr>
              <w:spacing w:after="40"/>
            </w:pPr>
            <w:r>
              <w:rPr>
                <w:color w:val="1F2937"/>
                <w:sz w:val="20"/>
                <w:szCs w:val="20"/>
              </w:rPr>
              <w:t xml:space="preserve">N_SAMPLE_FACILITIES is now 40 (done). Verify the first 40 rows of nairobi_parking_traffic_signal.csv aren't clustered in a single zone (facilities.head(40)['zone'].value_counts()); switch to a stratified sample by zone if they are.</w:t>
            </w:r>
          </w:p>
          <w:p>
            <w:pPr>
              <w:pStyle w:val="ListParagraph"/>
              <w:numPr>
                <w:ilvl w:val="0"/>
                <w:numId w:val="2"/>
              </w:numPr>
              <w:spacing w:after="40"/>
            </w:pPr>
            <w:r>
              <w:rPr>
                <w:color w:val="1F2937"/>
                <w:sz w:val="20"/>
                <w:szCs w:val="20"/>
              </w:rPr>
              <w:t xml:space="preserve">Collect 5-10 additional real spot-check observations at different times of day and on a weekend, to avoid calibrating on a single Tuesday morning.</w:t>
            </w:r>
          </w:p>
          <w:p>
            <w:pPr>
              <w:pStyle w:val="ListParagraph"/>
              <w:numPr>
                <w:ilvl w:val="0"/>
                <w:numId w:val="2"/>
              </w:numPr>
              <w:spacing w:after="40"/>
            </w:pPr>
            <w:r>
              <w:rPr>
                <w:color w:val="1F2937"/>
                <w:sz w:val="20"/>
                <w:szCs w:val="20"/>
              </w:rPr>
              <w:t xml:space="preserve">Rename the spot-check parking_pressure_score column to observed_occupancy_fraction and update any code that reads it.</w:t>
            </w:r>
          </w:p>
          <w:p>
            <w:pPr>
              <w:pStyle w:val="ListParagraph"/>
              <w:numPr>
                <w:ilvl w:val="0"/>
                <w:numId w:val="2"/>
              </w:numPr>
              <w:spacing w:after="40"/>
            </w:pPr>
            <w:r>
              <w:rPr>
                <w:color w:val="1F2937"/>
                <w:sz w:val="20"/>
                <w:szCs w:val="20"/>
              </w:rPr>
              <w:t xml:space="preserve">Give the team a daily go/no-go on real-data volume so Person 4 knows when to switch off synthetic data.</w:t>
            </w:r>
          </w:p>
        </w:tc>
      </w:tr>
      <w:tr>
        <w:tc>
          <w:tcPr>
            <w:tcW w:type="dxa" w:w="1700"/>
            <w:tcMar>
              <w:top w:type="dxa" w:w="80"/>
              <w:left w:type="dxa" w:w="100"/>
              <w:bottom w:type="dxa" w:w="80"/>
              <w:right w:type="dxa" w:w="100"/>
            </w:tcMar>
          </w:tcPr>
          <w:p>
            <w:pPr>
              <w:jc w:val="left"/>
            </w:pPr>
            <w:r>
              <w:rPr>
                <w:b/>
                <w:bCs/>
                <w:color w:val="1F2937"/>
                <w:sz w:val="20"/>
                <w:szCs w:val="20"/>
              </w:rPr>
              <w:t xml:space="preserve">Depends on</w:t>
            </w:r>
          </w:p>
        </w:tc>
        <w:tc>
          <w:tcPr>
            <w:gridSpan w:val="2"/>
            <w:tcMar>
              <w:top w:type="dxa" w:w="80"/>
              <w:left w:type="dxa" w:w="100"/>
              <w:bottom w:type="dxa" w:w="80"/>
              <w:right w:type="dxa" w:w="100"/>
            </w:tcMar>
          </w:tcPr>
          <w:p>
            <w:r>
              <w:rPr>
                <w:color w:val="1F2937"/>
                <w:sz w:val="20"/>
                <w:szCs w:val="20"/>
              </w:rPr>
              <w:t xml:space="preserve">None — starts immediately.</w:t>
            </w:r>
          </w:p>
        </w:tc>
      </w:tr>
      <w:tr>
        <w:tc>
          <w:tcPr>
            <w:tcW w:type="dxa" w:w="1700"/>
            <w:tcMar>
              <w:top w:type="dxa" w:w="80"/>
              <w:left w:type="dxa" w:w="100"/>
              <w:bottom w:type="dxa" w:w="80"/>
              <w:right w:type="dxa" w:w="100"/>
            </w:tcMar>
          </w:tcPr>
          <w:p>
            <w:pPr>
              <w:jc w:val="left"/>
            </w:pPr>
            <w:r>
              <w:rPr>
                <w:b/>
                <w:bCs/>
                <w:color w:val="1F2937"/>
                <w:sz w:val="20"/>
                <w:szCs w:val="20"/>
              </w:rPr>
              <w:t xml:space="preserve">Deliverable</w:t>
            </w:r>
          </w:p>
        </w:tc>
        <w:tc>
          <w:tcPr>
            <w:gridSpan w:val="2"/>
            <w:tcMar>
              <w:top w:type="dxa" w:w="80"/>
              <w:left w:type="dxa" w:w="100"/>
              <w:bottom w:type="dxa" w:w="80"/>
              <w:right w:type="dxa" w:w="100"/>
            </w:tcMar>
          </w:tcPr>
          <w:p>
            <w:r>
              <w:rPr>
                <w:color w:val="1F2937"/>
                <w:sz w:val="20"/>
                <w:szCs w:val="20"/>
              </w:rPr>
              <w:t xml:space="preserve">A daily-updated nairobi_parking_traffic_log.csv, a corrected spot-check file, and a short data-readiness note for the team.</w:t>
            </w:r>
          </w:p>
        </w:tc>
      </w:tr>
    </w:tbl>
    <w:p>
      <w:pPr>
        <w:pStyle w:val="Heading3"/>
        <w:spacing w:after="100" w:before="280"/>
      </w:pPr>
      <w:r>
        <w:rPr>
          <w:b/>
          <w:bCs/>
          <w:color w:val="1F2937"/>
          <w:sz w:val="23"/>
          <w:szCs w:val="23"/>
        </w:rPr>
        <w:t xml:space="preserve">Person 2: Exploratory Data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Mar>
              <w:top w:type="dxa" w:w="80"/>
              <w:left w:type="dxa" w:w="100"/>
              <w:bottom w:type="dxa" w:w="80"/>
              <w:right w:type="dxa" w:w="100"/>
            </w:tcMar>
          </w:tcPr>
          <w:p>
            <w:pPr>
              <w:jc w:val="left"/>
            </w:pPr>
            <w:r>
              <w:rPr>
                <w:b/>
                <w:bCs/>
                <w:color w:val="1F2937"/>
                <w:sz w:val="20"/>
                <w:szCs w:val="20"/>
              </w:rPr>
              <w:t xml:space="preserve">Objective</w:t>
            </w:r>
          </w:p>
        </w:tc>
        <w:tc>
          <w:tcPr>
            <w:gridSpan w:val="2"/>
            <w:tcMar>
              <w:top w:type="dxa" w:w="80"/>
              <w:left w:type="dxa" w:w="100"/>
              <w:bottom w:type="dxa" w:w="80"/>
              <w:right w:type="dxa" w:w="100"/>
            </w:tcMar>
          </w:tcPr>
          <w:p>
            <w:r>
              <w:rPr>
                <w:color w:val="1F2937"/>
                <w:sz w:val="20"/>
                <w:szCs w:val="20"/>
              </w:rPr>
              <w:t xml:space="preserve">Understand the data that already exists well enough to inform feature choices and flag quality issues before modelling starts.</w:t>
            </w:r>
          </w:p>
        </w:tc>
      </w:tr>
      <w:tr>
        <w:tc>
          <w:tcPr>
            <w:tcW w:type="dxa" w:w="1700"/>
            <w:tcMar>
              <w:top w:type="dxa" w:w="80"/>
              <w:left w:type="dxa" w:w="100"/>
              <w:bottom w:type="dxa" w:w="80"/>
              <w:right w:type="dxa" w:w="100"/>
            </w:tcMar>
          </w:tcPr>
          <w:p>
            <w:pPr>
              <w:jc w:val="left"/>
            </w:pPr>
            <w:r>
              <w:rPr>
                <w:b/>
                <w:bCs/>
                <w:color w:val="1F2937"/>
                <w:sz w:val="20"/>
                <w:szCs w:val="20"/>
              </w:rPr>
              <w:t xml:space="preserve">Starts</w:t>
            </w:r>
          </w:p>
        </w:tc>
        <w:tc>
          <w:tcPr>
            <w:gridSpan w:val="2"/>
            <w:tcMar>
              <w:top w:type="dxa" w:w="80"/>
              <w:left w:type="dxa" w:w="100"/>
              <w:bottom w:type="dxa" w:w="80"/>
              <w:right w:type="dxa" w:w="100"/>
            </w:tcMar>
          </w:tcPr>
          <w:p>
            <w:r>
              <w:rPr>
                <w:color w:val="1F2937"/>
                <w:sz w:val="20"/>
                <w:szCs w:val="20"/>
              </w:rPr>
              <w:t xml:space="preserve">Immediately</w:t>
            </w:r>
          </w:p>
        </w:tc>
      </w:tr>
      <w:tr>
        <w:tc>
          <w:tcPr>
            <w:tcW w:type="dxa" w:w="1700"/>
            <w:tcMar>
              <w:top w:type="dxa" w:w="80"/>
              <w:left w:type="dxa" w:w="100"/>
              <w:bottom w:type="dxa" w:w="80"/>
              <w:right w:type="dxa" w:w="100"/>
            </w:tcMar>
          </w:tcPr>
          <w:p>
            <w:pPr>
              <w:jc w:val="left"/>
            </w:pPr>
            <w:r>
              <w:rPr>
                <w:b/>
                <w:bCs/>
                <w:color w:val="1F2937"/>
                <w:sz w:val="20"/>
                <w:szCs w:val="20"/>
              </w:rPr>
              <w:t xml:space="preserve">Tasks</w:t>
            </w:r>
          </w:p>
        </w:tc>
        <w:tc>
          <w:tcPr>
            <w:gridSpan w:val="2"/>
            <w:tcMar>
              <w:top w:type="dxa" w:w="80"/>
              <w:left w:type="dxa" w:w="100"/>
              <w:bottom w:type="dxa" w:w="80"/>
              <w:right w:type="dxa" w:w="100"/>
            </w:tcMar>
          </w:tcPr>
          <w:p>
            <w:pPr>
              <w:pStyle w:val="ListParagraph"/>
              <w:numPr>
                <w:ilvl w:val="0"/>
                <w:numId w:val="2"/>
              </w:numPr>
              <w:spacing w:after="40"/>
            </w:pPr>
            <w:r>
              <w:rPr>
                <w:color w:val="1F2937"/>
                <w:sz w:val="20"/>
                <w:szCs w:val="20"/>
              </w:rPr>
              <w:t xml:space="preserve">Zone-level and time-of-day distributions of traffic_delay_index and parking_pressure_score.</w:t>
            </w:r>
          </w:p>
          <w:p>
            <w:pPr>
              <w:pStyle w:val="ListParagraph"/>
              <w:numPr>
                <w:ilvl w:val="0"/>
                <w:numId w:val="2"/>
              </w:numPr>
              <w:spacing w:after="40"/>
            </w:pPr>
            <w:r>
              <w:rPr>
                <w:color w:val="1F2937"/>
                <w:sz w:val="20"/>
                <w:szCs w:val="20"/>
              </w:rPr>
              <w:t xml:space="preserve">Spatial map of facilities (folium or plotly), coloured by zone and by traffic signal availability.</w:t>
            </w:r>
          </w:p>
          <w:p>
            <w:pPr>
              <w:pStyle w:val="ListParagraph"/>
              <w:numPr>
                <w:ilvl w:val="0"/>
                <w:numId w:val="2"/>
              </w:numPr>
              <w:spacing w:after="40"/>
            </w:pPr>
            <w:r>
              <w:rPr>
                <w:color w:val="1F2937"/>
                <w:sz w:val="20"/>
                <w:szCs w:val="20"/>
              </w:rPr>
              <w:t xml:space="preserve">Correlation analysis between traffic_delay_index, zone, hour, weekend/holiday flags.</w:t>
            </w:r>
          </w:p>
          <w:p>
            <w:pPr>
              <w:pStyle w:val="ListParagraph"/>
              <w:numPr>
                <w:ilvl w:val="0"/>
                <w:numId w:val="2"/>
              </w:numPr>
              <w:spacing w:after="40"/>
            </w:pPr>
            <w:r>
              <w:rPr>
                <w:color w:val="1F2937"/>
                <w:sz w:val="20"/>
                <w:szCs w:val="20"/>
              </w:rPr>
              <w:t xml:space="preserve">Missingness and coverage report: capacity_is_reported is currently true for only 8 of 500 rows — quantify and visualise this gap rather than let it hide in summary stats.</w:t>
            </w:r>
          </w:p>
          <w:p>
            <w:pPr>
              <w:pStyle w:val="ListParagraph"/>
              <w:numPr>
                <w:ilvl w:val="0"/>
                <w:numId w:val="2"/>
              </w:numPr>
              <w:spacing w:after="40"/>
            </w:pPr>
            <w:r>
              <w:rPr>
                <w:color w:val="1F2937"/>
                <w:sz w:val="20"/>
                <w:szCs w:val="20"/>
              </w:rPr>
              <w:t xml:space="preserve">Write up 5-8 concrete findings that Person 3/4 can turn directly into features.</w:t>
            </w:r>
          </w:p>
        </w:tc>
      </w:tr>
      <w:tr>
        <w:tc>
          <w:tcPr>
            <w:tcW w:type="dxa" w:w="1700"/>
            <w:tcMar>
              <w:top w:type="dxa" w:w="80"/>
              <w:left w:type="dxa" w:w="100"/>
              <w:bottom w:type="dxa" w:w="80"/>
              <w:right w:type="dxa" w:w="100"/>
            </w:tcMar>
          </w:tcPr>
          <w:p>
            <w:pPr>
              <w:jc w:val="left"/>
            </w:pPr>
            <w:r>
              <w:rPr>
                <w:b/>
                <w:bCs/>
                <w:color w:val="1F2937"/>
                <w:sz w:val="20"/>
                <w:szCs w:val="20"/>
              </w:rPr>
              <w:t xml:space="preserve">Depends on</w:t>
            </w:r>
          </w:p>
        </w:tc>
        <w:tc>
          <w:tcPr>
            <w:gridSpan w:val="2"/>
            <w:tcMar>
              <w:top w:type="dxa" w:w="80"/>
              <w:left w:type="dxa" w:w="100"/>
              <w:bottom w:type="dxa" w:w="80"/>
              <w:right w:type="dxa" w:w="100"/>
            </w:tcMar>
          </w:tcPr>
          <w:p>
            <w:r>
              <w:rPr>
                <w:color w:val="1F2937"/>
                <w:sz w:val="20"/>
                <w:szCs w:val="20"/>
              </w:rPr>
              <w:t xml:space="preserve">None — current master dataset and traffic log are sufficient to start.</w:t>
            </w:r>
          </w:p>
        </w:tc>
      </w:tr>
      <w:tr>
        <w:tc>
          <w:tcPr>
            <w:tcW w:type="dxa" w:w="1700"/>
            <w:tcMar>
              <w:top w:type="dxa" w:w="80"/>
              <w:left w:type="dxa" w:w="100"/>
              <w:bottom w:type="dxa" w:w="80"/>
              <w:right w:type="dxa" w:w="100"/>
            </w:tcMar>
          </w:tcPr>
          <w:p>
            <w:pPr>
              <w:jc w:val="left"/>
            </w:pPr>
            <w:r>
              <w:rPr>
                <w:b/>
                <w:bCs/>
                <w:color w:val="1F2937"/>
                <w:sz w:val="20"/>
                <w:szCs w:val="20"/>
              </w:rPr>
              <w:t xml:space="preserve">Deliverable</w:t>
            </w:r>
          </w:p>
        </w:tc>
        <w:tc>
          <w:tcPr>
            <w:gridSpan w:val="2"/>
            <w:tcMar>
              <w:top w:type="dxa" w:w="80"/>
              <w:left w:type="dxa" w:w="100"/>
              <w:bottom w:type="dxa" w:w="80"/>
              <w:right w:type="dxa" w:w="100"/>
            </w:tcMar>
          </w:tcPr>
          <w:p>
            <w:r>
              <w:rPr>
                <w:color w:val="1F2937"/>
                <w:sz w:val="20"/>
                <w:szCs w:val="20"/>
              </w:rPr>
              <w:t xml:space="preserve">EDA notebook plus a short findings summary for the report.</w:t>
            </w:r>
          </w:p>
        </w:tc>
      </w:tr>
    </w:tbl>
    <w:p>
      <w:pPr>
        <w:pStyle w:val="Heading3"/>
        <w:spacing w:after="100" w:before="280"/>
      </w:pPr>
      <w:r>
        <w:rPr>
          <w:b/>
          <w:bCs/>
          <w:color w:val="1F2937"/>
          <w:sz w:val="23"/>
          <w:szCs w:val="23"/>
        </w:rPr>
        <w:t xml:space="preserve">Person 3: Feature Engineering &amp; Modelling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Mar>
              <w:top w:type="dxa" w:w="80"/>
              <w:left w:type="dxa" w:w="100"/>
              <w:bottom w:type="dxa" w:w="80"/>
              <w:right w:type="dxa" w:w="100"/>
            </w:tcMar>
          </w:tcPr>
          <w:p>
            <w:pPr>
              <w:jc w:val="left"/>
            </w:pPr>
            <w:r>
              <w:rPr>
                <w:b/>
                <w:bCs/>
                <w:color w:val="1F2937"/>
                <w:sz w:val="20"/>
                <w:szCs w:val="20"/>
              </w:rPr>
              <w:t xml:space="preserve">Objective</w:t>
            </w:r>
          </w:p>
        </w:tc>
        <w:tc>
          <w:tcPr>
            <w:gridSpan w:val="2"/>
            <w:tcMar>
              <w:top w:type="dxa" w:w="80"/>
              <w:left w:type="dxa" w:w="100"/>
              <w:bottom w:type="dxa" w:w="80"/>
              <w:right w:type="dxa" w:w="100"/>
            </w:tcMar>
          </w:tcPr>
          <w:p>
            <w:r>
              <w:rPr>
                <w:color w:val="1F2937"/>
                <w:sz w:val="20"/>
                <w:szCs w:val="20"/>
              </w:rPr>
              <w:t xml:space="preserve">Build and validate the full feature + training pipeline before real data volume exists, using the synthetic prototyping file.</w:t>
            </w:r>
          </w:p>
        </w:tc>
      </w:tr>
      <w:tr>
        <w:tc>
          <w:tcPr>
            <w:tcW w:type="dxa" w:w="1700"/>
            <w:tcMar>
              <w:top w:type="dxa" w:w="80"/>
              <w:left w:type="dxa" w:w="100"/>
              <w:bottom w:type="dxa" w:w="80"/>
              <w:right w:type="dxa" w:w="100"/>
            </w:tcMar>
          </w:tcPr>
          <w:p>
            <w:pPr>
              <w:jc w:val="left"/>
            </w:pPr>
            <w:r>
              <w:rPr>
                <w:b/>
                <w:bCs/>
                <w:color w:val="1F2937"/>
                <w:sz w:val="20"/>
                <w:szCs w:val="20"/>
              </w:rPr>
              <w:t xml:space="preserve">Starts</w:t>
            </w:r>
          </w:p>
        </w:tc>
        <w:tc>
          <w:tcPr>
            <w:gridSpan w:val="2"/>
            <w:tcMar>
              <w:top w:type="dxa" w:w="80"/>
              <w:left w:type="dxa" w:w="100"/>
              <w:bottom w:type="dxa" w:w="80"/>
              <w:right w:type="dxa" w:w="100"/>
            </w:tcMar>
          </w:tcPr>
          <w:p>
            <w:r>
              <w:rPr>
                <w:color w:val="1F2937"/>
                <w:sz w:val="20"/>
                <w:szCs w:val="20"/>
              </w:rPr>
              <w:t xml:space="preserve">Immediately</w:t>
            </w:r>
          </w:p>
        </w:tc>
      </w:tr>
      <w:tr>
        <w:tc>
          <w:tcPr>
            <w:tcW w:type="dxa" w:w="1700"/>
            <w:tcMar>
              <w:top w:type="dxa" w:w="80"/>
              <w:left w:type="dxa" w:w="100"/>
              <w:bottom w:type="dxa" w:w="80"/>
              <w:right w:type="dxa" w:w="100"/>
            </w:tcMar>
          </w:tcPr>
          <w:p>
            <w:pPr>
              <w:jc w:val="left"/>
            </w:pPr>
            <w:r>
              <w:rPr>
                <w:b/>
                <w:bCs/>
                <w:color w:val="1F2937"/>
                <w:sz w:val="20"/>
                <w:szCs w:val="20"/>
              </w:rPr>
              <w:t xml:space="preserve">Tasks</w:t>
            </w:r>
          </w:p>
        </w:tc>
        <w:tc>
          <w:tcPr>
            <w:gridSpan w:val="2"/>
            <w:tcMar>
              <w:top w:type="dxa" w:w="80"/>
              <w:left w:type="dxa" w:w="100"/>
              <w:bottom w:type="dxa" w:w="80"/>
              <w:right w:type="dxa" w:w="100"/>
            </w:tcMar>
          </w:tcPr>
          <w:p>
            <w:pPr>
              <w:pStyle w:val="ListParagraph"/>
              <w:numPr>
                <w:ilvl w:val="0"/>
                <w:numId w:val="2"/>
              </w:numPr>
              <w:spacing w:after="40"/>
            </w:pPr>
            <w:r>
              <w:rPr>
                <w:color w:val="1F2937"/>
                <w:sz w:val="20"/>
                <w:szCs w:val="20"/>
              </w:rPr>
              <w:t xml:space="preserve">Build features: cyclical hour/day encoding, is_weekend, is_holiday, zone, and (once available) rolling/lag traffic averages.</w:t>
            </w:r>
          </w:p>
          <w:p>
            <w:pPr>
              <w:pStyle w:val="ListParagraph"/>
              <w:numPr>
                <w:ilvl w:val="0"/>
                <w:numId w:val="2"/>
              </w:numPr>
              <w:spacing w:after="40"/>
            </w:pPr>
            <w:r>
              <w:rPr>
                <w:color w:val="1F2937"/>
                <w:sz w:val="20"/>
                <w:szCs w:val="20"/>
              </w:rPr>
              <w:t xml:space="preserve">Build a time-respecting train/test split (no shuffling across time).</w:t>
            </w:r>
          </w:p>
          <w:p>
            <w:pPr>
              <w:pStyle w:val="ListParagraph"/>
              <w:numPr>
                <w:ilvl w:val="0"/>
                <w:numId w:val="2"/>
              </w:numPr>
              <w:spacing w:after="40"/>
            </w:pPr>
            <w:r>
              <w:rPr>
                <w:color w:val="1F2937"/>
                <w:sz w:val="20"/>
                <w:szCs w:val="20"/>
              </w:rPr>
              <w:t xml:space="preserve">Fit a baseline (e.g. zone-hour average) and one real model (e.g. gradient boosting) against nairobi_parking_SYNTHETIC_prototyping_only.csv to prove the pipeline runs end to end.</w:t>
            </w:r>
          </w:p>
          <w:p>
            <w:pPr>
              <w:pStyle w:val="ListParagraph"/>
              <w:numPr>
                <w:ilvl w:val="0"/>
                <w:numId w:val="2"/>
              </w:numPr>
              <w:spacing w:after="40"/>
            </w:pPr>
            <w:r>
              <w:rPr>
                <w:color w:val="1F2937"/>
                <w:sz w:val="20"/>
                <w:szCs w:val="20"/>
              </w:rPr>
              <w:t xml:space="preserve">Keep every synthetic-data output clearly labelled as synthetic; do not let any metric from this file reach the final report.</w:t>
            </w:r>
          </w:p>
          <w:p>
            <w:pPr>
              <w:pStyle w:val="ListParagraph"/>
              <w:numPr>
                <w:ilvl w:val="0"/>
                <w:numId w:val="2"/>
              </w:numPr>
              <w:spacing w:after="40"/>
            </w:pPr>
            <w:r>
              <w:rPr>
                <w:color w:val="1F2937"/>
                <w:sz w:val="20"/>
                <w:szCs w:val="20"/>
              </w:rPr>
              <w:t xml:space="preserve">Hand the validated pipeline to Person 4 as soon as Person 1 confirms real data volume is sufficient.</w:t>
            </w:r>
          </w:p>
        </w:tc>
      </w:tr>
      <w:tr>
        <w:tc>
          <w:tcPr>
            <w:tcW w:type="dxa" w:w="1700"/>
            <w:tcMar>
              <w:top w:type="dxa" w:w="80"/>
              <w:left w:type="dxa" w:w="100"/>
              <w:bottom w:type="dxa" w:w="80"/>
              <w:right w:type="dxa" w:w="100"/>
            </w:tcMar>
          </w:tcPr>
          <w:p>
            <w:pPr>
              <w:jc w:val="left"/>
            </w:pPr>
            <w:r>
              <w:rPr>
                <w:b/>
                <w:bCs/>
                <w:color w:val="1F2937"/>
                <w:sz w:val="20"/>
                <w:szCs w:val="20"/>
              </w:rPr>
              <w:t xml:space="preserve">Depends on</w:t>
            </w:r>
          </w:p>
        </w:tc>
        <w:tc>
          <w:tcPr>
            <w:gridSpan w:val="2"/>
            <w:tcMar>
              <w:top w:type="dxa" w:w="80"/>
              <w:left w:type="dxa" w:w="100"/>
              <w:bottom w:type="dxa" w:w="80"/>
              <w:right w:type="dxa" w:w="100"/>
            </w:tcMar>
          </w:tcPr>
          <w:p>
            <w:r>
              <w:rPr>
                <w:color w:val="1F2937"/>
                <w:sz w:val="20"/>
                <w:szCs w:val="20"/>
              </w:rPr>
              <w:t xml:space="preserve">None to start (uses synthetic data). Hands off to Person 4 once Person 1 signals real-data readiness.</w:t>
            </w:r>
          </w:p>
        </w:tc>
      </w:tr>
      <w:tr>
        <w:tc>
          <w:tcPr>
            <w:tcW w:type="dxa" w:w="1700"/>
            <w:tcMar>
              <w:top w:type="dxa" w:w="80"/>
              <w:left w:type="dxa" w:w="100"/>
              <w:bottom w:type="dxa" w:w="80"/>
              <w:right w:type="dxa" w:w="100"/>
            </w:tcMar>
          </w:tcPr>
          <w:p>
            <w:pPr>
              <w:jc w:val="left"/>
            </w:pPr>
            <w:r>
              <w:rPr>
                <w:b/>
                <w:bCs/>
                <w:color w:val="1F2937"/>
                <w:sz w:val="20"/>
                <w:szCs w:val="20"/>
              </w:rPr>
              <w:t xml:space="preserve">Deliverable</w:t>
            </w:r>
          </w:p>
        </w:tc>
        <w:tc>
          <w:tcPr>
            <w:gridSpan w:val="2"/>
            <w:tcMar>
              <w:top w:type="dxa" w:w="80"/>
              <w:left w:type="dxa" w:w="100"/>
              <w:bottom w:type="dxa" w:w="80"/>
              <w:right w:type="dxa" w:w="100"/>
            </w:tcMar>
          </w:tcPr>
          <w:p>
            <w:r>
              <w:rPr>
                <w:color w:val="1F2937"/>
                <w:sz w:val="20"/>
                <w:szCs w:val="20"/>
              </w:rPr>
              <w:t xml:space="preserve">A working, tested feature + training pipeline, proven on synthetic data.</w:t>
            </w:r>
          </w:p>
        </w:tc>
      </w:tr>
    </w:tbl>
    <w:p>
      <w:pPr>
        <w:pStyle w:val="Heading3"/>
        <w:spacing w:after="100" w:before="280"/>
      </w:pPr>
      <w:r>
        <w:rPr>
          <w:b/>
          <w:bCs/>
          <w:color w:val="1F2937"/>
          <w:sz w:val="23"/>
          <w:szCs w:val="23"/>
        </w:rPr>
        <w:t xml:space="preserve">Person 4: Real-Data Modelling &amp; Evaluation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Mar>
              <w:top w:type="dxa" w:w="80"/>
              <w:left w:type="dxa" w:w="100"/>
              <w:bottom w:type="dxa" w:w="80"/>
              <w:right w:type="dxa" w:w="100"/>
            </w:tcMar>
          </w:tcPr>
          <w:p>
            <w:pPr>
              <w:jc w:val="left"/>
            </w:pPr>
            <w:r>
              <w:rPr>
                <w:b/>
                <w:bCs/>
                <w:color w:val="1F2937"/>
                <w:sz w:val="20"/>
                <w:szCs w:val="20"/>
              </w:rPr>
              <w:t xml:space="preserve">Objective</w:t>
            </w:r>
          </w:p>
        </w:tc>
        <w:tc>
          <w:tcPr>
            <w:gridSpan w:val="2"/>
            <w:tcMar>
              <w:top w:type="dxa" w:w="80"/>
              <w:left w:type="dxa" w:w="100"/>
              <w:bottom w:type="dxa" w:w="80"/>
              <w:right w:type="dxa" w:w="100"/>
            </w:tcMar>
          </w:tcPr>
          <w:p>
            <w:r>
              <w:rPr>
                <w:color w:val="1F2937"/>
                <w:sz w:val="20"/>
                <w:szCs w:val="20"/>
              </w:rPr>
              <w:t xml:space="preserve">Train and evaluate the model on real accumulated data, and write the honest limitations section.</w:t>
            </w:r>
          </w:p>
        </w:tc>
      </w:tr>
      <w:tr>
        <w:tc>
          <w:tcPr>
            <w:tcW w:type="dxa" w:w="1700"/>
            <w:tcMar>
              <w:top w:type="dxa" w:w="80"/>
              <w:left w:type="dxa" w:w="100"/>
              <w:bottom w:type="dxa" w:w="80"/>
              <w:right w:type="dxa" w:w="100"/>
            </w:tcMar>
          </w:tcPr>
          <w:p>
            <w:pPr>
              <w:jc w:val="left"/>
            </w:pPr>
            <w:r>
              <w:rPr>
                <w:b/>
                <w:bCs/>
                <w:color w:val="1F2937"/>
                <w:sz w:val="20"/>
                <w:szCs w:val="20"/>
              </w:rPr>
              <w:t xml:space="preserve">Starts</w:t>
            </w:r>
          </w:p>
        </w:tc>
        <w:tc>
          <w:tcPr>
            <w:gridSpan w:val="2"/>
            <w:tcMar>
              <w:top w:type="dxa" w:w="80"/>
              <w:left w:type="dxa" w:w="100"/>
              <w:bottom w:type="dxa" w:w="80"/>
              <w:right w:type="dxa" w:w="100"/>
            </w:tcMar>
          </w:tcPr>
          <w:p>
            <w:r>
              <w:rPr>
                <w:color w:val="1F2937"/>
                <w:sz w:val="20"/>
                <w:szCs w:val="20"/>
              </w:rPr>
              <w:t xml:space="preserve">Once Person 1 confirms real-data volume (expected after 1-3 days of continuous collection)</w:t>
            </w:r>
          </w:p>
        </w:tc>
      </w:tr>
      <w:tr>
        <w:tc>
          <w:tcPr>
            <w:tcW w:type="dxa" w:w="1700"/>
            <w:tcMar>
              <w:top w:type="dxa" w:w="80"/>
              <w:left w:type="dxa" w:w="100"/>
              <w:bottom w:type="dxa" w:w="80"/>
              <w:right w:type="dxa" w:w="100"/>
            </w:tcMar>
          </w:tcPr>
          <w:p>
            <w:pPr>
              <w:jc w:val="left"/>
            </w:pPr>
            <w:r>
              <w:rPr>
                <w:b/>
                <w:bCs/>
                <w:color w:val="1F2937"/>
                <w:sz w:val="20"/>
                <w:szCs w:val="20"/>
              </w:rPr>
              <w:t xml:space="preserve">Tasks</w:t>
            </w:r>
          </w:p>
        </w:tc>
        <w:tc>
          <w:tcPr>
            <w:gridSpan w:val="2"/>
            <w:tcMar>
              <w:top w:type="dxa" w:w="80"/>
              <w:left w:type="dxa" w:w="100"/>
              <w:bottom w:type="dxa" w:w="80"/>
              <w:right w:type="dxa" w:w="100"/>
            </w:tcMar>
          </w:tcPr>
          <w:p>
            <w:pPr>
              <w:pStyle w:val="ListParagraph"/>
              <w:numPr>
                <w:ilvl w:val="0"/>
                <w:numId w:val="2"/>
              </w:numPr>
              <w:spacing w:after="40"/>
            </w:pPr>
            <w:r>
              <w:rPr>
                <w:color w:val="1F2937"/>
                <w:sz w:val="20"/>
                <w:szCs w:val="20"/>
              </w:rPr>
              <w:t xml:space="preserve">Swap Person 3's validated pipeline onto nairobi_parking_traffic_log.csv once Person 1 confirms sufficient real volume and time spread.</w:t>
            </w:r>
          </w:p>
          <w:p>
            <w:pPr>
              <w:pStyle w:val="ListParagraph"/>
              <w:numPr>
                <w:ilvl w:val="0"/>
                <w:numId w:val="2"/>
              </w:numPr>
              <w:spacing w:after="40"/>
            </w:pPr>
            <w:r>
              <w:rPr>
                <w:color w:val="1F2937"/>
                <w:sz w:val="20"/>
                <w:szCs w:val="20"/>
              </w:rPr>
              <w:t xml:space="preserve">Train the model(s) on real data; evaluate only against rows with a genuine calibration_status, not placeholder or synthetic rows.</w:t>
            </w:r>
          </w:p>
          <w:p>
            <w:pPr>
              <w:pStyle w:val="ListParagraph"/>
              <w:numPr>
                <w:ilvl w:val="0"/>
                <w:numId w:val="2"/>
              </w:numPr>
              <w:spacing w:after="40"/>
            </w:pPr>
            <w:r>
              <w:rPr>
                <w:color w:val="1F2937"/>
                <w:sz w:val="20"/>
                <w:szCs w:val="20"/>
              </w:rPr>
              <w:t xml:space="preserve">Report MAE/RMSE and error breakdown by zone and time period.</w:t>
            </w:r>
          </w:p>
          <w:p>
            <w:pPr>
              <w:pStyle w:val="ListParagraph"/>
              <w:numPr>
                <w:ilvl w:val="0"/>
                <w:numId w:val="2"/>
              </w:numPr>
              <w:spacing w:after="40"/>
            </w:pPr>
            <w:r>
              <w:rPr>
                <w:color w:val="1F2937"/>
                <w:sz w:val="20"/>
                <w:szCs w:val="20"/>
              </w:rPr>
              <w:t xml:space="preserve">Write the limitations section: small spot-check sample size, single-morning bias unless Person 1's extra observations land in time, capacity coverage gap. This feeds directly into the CRISP-DM proposal document.</w:t>
            </w:r>
          </w:p>
          <w:p>
            <w:pPr>
              <w:pStyle w:val="ListParagraph"/>
              <w:numPr>
                <w:ilvl w:val="0"/>
                <w:numId w:val="2"/>
              </w:numPr>
              <w:spacing w:after="40"/>
            </w:pPr>
            <w:r>
              <w:rPr>
                <w:color w:val="1F2937"/>
                <w:sz w:val="20"/>
                <w:szCs w:val="20"/>
              </w:rPr>
              <w:t xml:space="preserve">Sanity-check that model performance is not simply re-deriving the traffic proxy formula it was trained on.</w:t>
            </w:r>
          </w:p>
        </w:tc>
      </w:tr>
      <w:tr>
        <w:tc>
          <w:tcPr>
            <w:tcW w:type="dxa" w:w="1700"/>
            <w:tcMar>
              <w:top w:type="dxa" w:w="80"/>
              <w:left w:type="dxa" w:w="100"/>
              <w:bottom w:type="dxa" w:w="80"/>
              <w:right w:type="dxa" w:w="100"/>
            </w:tcMar>
          </w:tcPr>
          <w:p>
            <w:pPr>
              <w:jc w:val="left"/>
            </w:pPr>
            <w:r>
              <w:rPr>
                <w:b/>
                <w:bCs/>
                <w:color w:val="1F2937"/>
                <w:sz w:val="20"/>
                <w:szCs w:val="20"/>
              </w:rPr>
              <w:t xml:space="preserve">Depends on</w:t>
            </w:r>
          </w:p>
        </w:tc>
        <w:tc>
          <w:tcPr>
            <w:gridSpan w:val="2"/>
            <w:tcMar>
              <w:top w:type="dxa" w:w="80"/>
              <w:left w:type="dxa" w:w="100"/>
              <w:bottom w:type="dxa" w:w="80"/>
              <w:right w:type="dxa" w:w="100"/>
            </w:tcMar>
          </w:tcPr>
          <w:p>
            <w:r>
              <w:rPr>
                <w:color w:val="1F2937"/>
                <w:sz w:val="20"/>
                <w:szCs w:val="20"/>
              </w:rPr>
              <w:t xml:space="preserve">Person 1 (real data volume), Person 3 (validated pipeline).</w:t>
            </w:r>
          </w:p>
        </w:tc>
      </w:tr>
      <w:tr>
        <w:tc>
          <w:tcPr>
            <w:tcW w:type="dxa" w:w="1700"/>
            <w:tcMar>
              <w:top w:type="dxa" w:w="80"/>
              <w:left w:type="dxa" w:w="100"/>
              <w:bottom w:type="dxa" w:w="80"/>
              <w:right w:type="dxa" w:w="100"/>
            </w:tcMar>
          </w:tcPr>
          <w:p>
            <w:pPr>
              <w:jc w:val="left"/>
            </w:pPr>
            <w:r>
              <w:rPr>
                <w:b/>
                <w:bCs/>
                <w:color w:val="1F2937"/>
                <w:sz w:val="20"/>
                <w:szCs w:val="20"/>
              </w:rPr>
              <w:t xml:space="preserve">Deliverable</w:t>
            </w:r>
          </w:p>
        </w:tc>
        <w:tc>
          <w:tcPr>
            <w:gridSpan w:val="2"/>
            <w:tcMar>
              <w:top w:type="dxa" w:w="80"/>
              <w:left w:type="dxa" w:w="100"/>
              <w:bottom w:type="dxa" w:w="80"/>
              <w:right w:type="dxa" w:w="100"/>
            </w:tcMar>
          </w:tcPr>
          <w:p>
            <w:r>
              <w:rPr>
                <w:color w:val="1F2937"/>
                <w:sz w:val="20"/>
                <w:szCs w:val="20"/>
              </w:rPr>
              <w:t xml:space="preserve">Trained model, evaluation report, and limitations writeup.</w:t>
            </w:r>
          </w:p>
        </w:tc>
      </w:tr>
    </w:tbl>
    <w:p>
      <w:pPr>
        <w:pStyle w:val="Heading3"/>
        <w:spacing w:after="100" w:before="280"/>
      </w:pPr>
      <w:r>
        <w:rPr>
          <w:b/>
          <w:bCs/>
          <w:color w:val="1F2937"/>
          <w:sz w:val="23"/>
          <w:szCs w:val="23"/>
        </w:rPr>
        <w:t xml:space="preserve">Person 5: Backend / Model Serving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Mar>
              <w:top w:type="dxa" w:w="80"/>
              <w:left w:type="dxa" w:w="100"/>
              <w:bottom w:type="dxa" w:w="80"/>
              <w:right w:type="dxa" w:w="100"/>
            </w:tcMar>
          </w:tcPr>
          <w:p>
            <w:pPr>
              <w:jc w:val="left"/>
            </w:pPr>
            <w:r>
              <w:rPr>
                <w:b/>
                <w:bCs/>
                <w:color w:val="1F2937"/>
                <w:sz w:val="20"/>
                <w:szCs w:val="20"/>
              </w:rPr>
              <w:t xml:space="preserve">Objective</w:t>
            </w:r>
          </w:p>
        </w:tc>
        <w:tc>
          <w:tcPr>
            <w:gridSpan w:val="2"/>
            <w:tcMar>
              <w:top w:type="dxa" w:w="80"/>
              <w:left w:type="dxa" w:w="100"/>
              <w:bottom w:type="dxa" w:w="80"/>
              <w:right w:type="dxa" w:w="100"/>
            </w:tcMar>
          </w:tcPr>
          <w:p>
            <w:r>
              <w:rPr>
                <w:color w:val="1F2937"/>
                <w:sz w:val="20"/>
                <w:szCs w:val="20"/>
              </w:rPr>
              <w:t xml:space="preserve">Build the API that serves predictions to the frontend, independent of whether the real model is ready yet.</w:t>
            </w:r>
          </w:p>
        </w:tc>
      </w:tr>
      <w:tr>
        <w:tc>
          <w:tcPr>
            <w:tcW w:type="dxa" w:w="1700"/>
            <w:tcMar>
              <w:top w:type="dxa" w:w="80"/>
              <w:left w:type="dxa" w:w="100"/>
              <w:bottom w:type="dxa" w:w="80"/>
              <w:right w:type="dxa" w:w="100"/>
            </w:tcMar>
          </w:tcPr>
          <w:p>
            <w:pPr>
              <w:jc w:val="left"/>
            </w:pPr>
            <w:r>
              <w:rPr>
                <w:b/>
                <w:bCs/>
                <w:color w:val="1F2937"/>
                <w:sz w:val="20"/>
                <w:szCs w:val="20"/>
              </w:rPr>
              <w:t xml:space="preserve">Starts</w:t>
            </w:r>
          </w:p>
        </w:tc>
        <w:tc>
          <w:tcPr>
            <w:gridSpan w:val="2"/>
            <w:tcMar>
              <w:top w:type="dxa" w:w="80"/>
              <w:left w:type="dxa" w:w="100"/>
              <w:bottom w:type="dxa" w:w="80"/>
              <w:right w:type="dxa" w:w="100"/>
            </w:tcMar>
          </w:tcPr>
          <w:p>
            <w:r>
              <w:rPr>
                <w:color w:val="1F2937"/>
                <w:sz w:val="20"/>
                <w:szCs w:val="20"/>
              </w:rPr>
              <w:t xml:space="preserve">Immediately</w:t>
            </w:r>
          </w:p>
        </w:tc>
      </w:tr>
      <w:tr>
        <w:tc>
          <w:tcPr>
            <w:tcW w:type="dxa" w:w="1700"/>
            <w:tcMar>
              <w:top w:type="dxa" w:w="80"/>
              <w:left w:type="dxa" w:w="100"/>
              <w:bottom w:type="dxa" w:w="80"/>
              <w:right w:type="dxa" w:w="100"/>
            </w:tcMar>
          </w:tcPr>
          <w:p>
            <w:pPr>
              <w:jc w:val="left"/>
            </w:pPr>
            <w:r>
              <w:rPr>
                <w:b/>
                <w:bCs/>
                <w:color w:val="1F2937"/>
                <w:sz w:val="20"/>
                <w:szCs w:val="20"/>
              </w:rPr>
              <w:t xml:space="preserve">Tasks</w:t>
            </w:r>
          </w:p>
        </w:tc>
        <w:tc>
          <w:tcPr>
            <w:gridSpan w:val="2"/>
            <w:tcMar>
              <w:top w:type="dxa" w:w="80"/>
              <w:left w:type="dxa" w:w="100"/>
              <w:bottom w:type="dxa" w:w="80"/>
              <w:right w:type="dxa" w:w="100"/>
            </w:tcMar>
          </w:tcPr>
          <w:p>
            <w:pPr>
              <w:pStyle w:val="ListParagraph"/>
              <w:numPr>
                <w:ilvl w:val="0"/>
                <w:numId w:val="2"/>
              </w:numPr>
              <w:spacing w:after="40"/>
            </w:pPr>
            <w:r>
              <w:rPr>
                <w:color w:val="1F2937"/>
                <w:sz w:val="20"/>
                <w:szCs w:val="20"/>
              </w:rPr>
              <w:t xml:space="preserve">Build a FastAPI/Flask service exposing an endpoint that returns the latest parking_pressure_score per facility.</w:t>
            </w:r>
          </w:p>
          <w:p>
            <w:pPr>
              <w:pStyle w:val="ListParagraph"/>
              <w:numPr>
                <w:ilvl w:val="0"/>
                <w:numId w:val="2"/>
              </w:numPr>
              <w:spacing w:after="40"/>
            </w:pPr>
            <w:r>
              <w:rPr>
                <w:color w:val="1F2937"/>
                <w:sz w:val="20"/>
                <w:szCs w:val="20"/>
              </w:rPr>
              <w:t xml:space="preserve">Serve against mock/dummy predictions first so the API contract is fixed early.</w:t>
            </w:r>
          </w:p>
          <w:p>
            <w:pPr>
              <w:pStyle w:val="ListParagraph"/>
              <w:numPr>
                <w:ilvl w:val="0"/>
                <w:numId w:val="2"/>
              </w:numPr>
              <w:spacing w:after="40"/>
            </w:pPr>
            <w:r>
              <w:rPr>
                <w:color w:val="1F2937"/>
                <w:sz w:val="20"/>
                <w:szCs w:val="20"/>
              </w:rPr>
              <w:t xml:space="preserve">Handle the 'not yet calibrated' state explicitly in the response — this is an ongoing real state while data is still accumulating, not just a launch-day placeholder.</w:t>
            </w:r>
          </w:p>
          <w:p>
            <w:pPr>
              <w:pStyle w:val="ListParagraph"/>
              <w:numPr>
                <w:ilvl w:val="0"/>
                <w:numId w:val="2"/>
              </w:numPr>
              <w:spacing w:after="40"/>
            </w:pPr>
            <w:r>
              <w:rPr>
                <w:color w:val="1F2937"/>
                <w:sz w:val="20"/>
                <w:szCs w:val="20"/>
              </w:rPr>
              <w:t xml:space="preserve">Swap in Person 4's trained model once it is ready.</w:t>
            </w:r>
          </w:p>
          <w:p>
            <w:pPr>
              <w:pStyle w:val="ListParagraph"/>
              <w:numPr>
                <w:ilvl w:val="0"/>
                <w:numId w:val="2"/>
              </w:numPr>
              <w:spacing w:after="40"/>
            </w:pPr>
            <w:r>
              <w:rPr>
                <w:color w:val="1F2937"/>
                <w:sz w:val="20"/>
                <w:szCs w:val="20"/>
              </w:rPr>
              <w:t xml:space="preserve">Keep TOMTOM_API_KEY and any other secrets server-side only; never expose them to a client request.</w:t>
            </w:r>
          </w:p>
        </w:tc>
      </w:tr>
      <w:tr>
        <w:tc>
          <w:tcPr>
            <w:tcW w:type="dxa" w:w="1700"/>
            <w:tcMar>
              <w:top w:type="dxa" w:w="80"/>
              <w:left w:type="dxa" w:w="100"/>
              <w:bottom w:type="dxa" w:w="80"/>
              <w:right w:type="dxa" w:w="100"/>
            </w:tcMar>
          </w:tcPr>
          <w:p>
            <w:pPr>
              <w:jc w:val="left"/>
            </w:pPr>
            <w:r>
              <w:rPr>
                <w:b/>
                <w:bCs/>
                <w:color w:val="1F2937"/>
                <w:sz w:val="20"/>
                <w:szCs w:val="20"/>
              </w:rPr>
              <w:t xml:space="preserve">Depends on</w:t>
            </w:r>
          </w:p>
        </w:tc>
        <w:tc>
          <w:tcPr>
            <w:gridSpan w:val="2"/>
            <w:tcMar>
              <w:top w:type="dxa" w:w="80"/>
              <w:left w:type="dxa" w:w="100"/>
              <w:bottom w:type="dxa" w:w="80"/>
              <w:right w:type="dxa" w:w="100"/>
            </w:tcMar>
          </w:tcPr>
          <w:p>
            <w:r>
              <w:rPr>
                <w:color w:val="1F2937"/>
                <w:sz w:val="20"/>
                <w:szCs w:val="20"/>
              </w:rPr>
              <w:t xml:space="preserve">None to start. Final model swap depends on Person 4.</w:t>
            </w:r>
          </w:p>
        </w:tc>
      </w:tr>
      <w:tr>
        <w:tc>
          <w:tcPr>
            <w:tcW w:type="dxa" w:w="1700"/>
            <w:tcMar>
              <w:top w:type="dxa" w:w="80"/>
              <w:left w:type="dxa" w:w="100"/>
              <w:bottom w:type="dxa" w:w="80"/>
              <w:right w:type="dxa" w:w="100"/>
            </w:tcMar>
          </w:tcPr>
          <w:p>
            <w:pPr>
              <w:jc w:val="left"/>
            </w:pPr>
            <w:r>
              <w:rPr>
                <w:b/>
                <w:bCs/>
                <w:color w:val="1F2937"/>
                <w:sz w:val="20"/>
                <w:szCs w:val="20"/>
              </w:rPr>
              <w:t xml:space="preserve">Deliverable</w:t>
            </w:r>
          </w:p>
        </w:tc>
        <w:tc>
          <w:tcPr>
            <w:gridSpan w:val="2"/>
            <w:tcMar>
              <w:top w:type="dxa" w:w="80"/>
              <w:left w:type="dxa" w:w="100"/>
              <w:bottom w:type="dxa" w:w="80"/>
              <w:right w:type="dxa" w:w="100"/>
            </w:tcMar>
          </w:tcPr>
          <w:p>
            <w:r>
              <w:rPr>
                <w:color w:val="1F2937"/>
                <w:sz w:val="20"/>
                <w:szCs w:val="20"/>
              </w:rPr>
              <w:t xml:space="preserve">A working API with a fixed contract, initially backed by mock data.</w:t>
            </w:r>
          </w:p>
        </w:tc>
      </w:tr>
    </w:tbl>
    <w:p>
      <w:pPr>
        <w:pStyle w:val="Heading3"/>
        <w:spacing w:after="100" w:before="280"/>
      </w:pPr>
      <w:r>
        <w:rPr>
          <w:b/>
          <w:bCs/>
          <w:color w:val="1F2937"/>
          <w:sz w:val="23"/>
          <w:szCs w:val="23"/>
        </w:rPr>
        <w:t xml:space="preserve">Person 6: Frontend / UI &amp; Deployment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Mar>
              <w:top w:type="dxa" w:w="80"/>
              <w:left w:type="dxa" w:w="100"/>
              <w:bottom w:type="dxa" w:w="80"/>
              <w:right w:type="dxa" w:w="100"/>
            </w:tcMar>
          </w:tcPr>
          <w:p>
            <w:pPr>
              <w:jc w:val="left"/>
            </w:pPr>
            <w:r>
              <w:rPr>
                <w:b/>
                <w:bCs/>
                <w:color w:val="1F2937"/>
                <w:sz w:val="20"/>
                <w:szCs w:val="20"/>
              </w:rPr>
              <w:t xml:space="preserve">Objective</w:t>
            </w:r>
          </w:p>
        </w:tc>
        <w:tc>
          <w:tcPr>
            <w:gridSpan w:val="2"/>
            <w:tcMar>
              <w:top w:type="dxa" w:w="80"/>
              <w:left w:type="dxa" w:w="100"/>
              <w:bottom w:type="dxa" w:w="80"/>
              <w:right w:type="dxa" w:w="100"/>
            </w:tcMar>
          </w:tcPr>
          <w:p>
            <w:r>
              <w:rPr>
                <w:color w:val="1F2937"/>
                <w:sz w:val="20"/>
                <w:szCs w:val="20"/>
              </w:rPr>
              <w:t xml:space="preserve">Build the map-based UI and own hosting for both frontend and backend.</w:t>
            </w:r>
          </w:p>
        </w:tc>
      </w:tr>
      <w:tr>
        <w:tc>
          <w:tcPr>
            <w:tcW w:type="dxa" w:w="1700"/>
            <w:tcMar>
              <w:top w:type="dxa" w:w="80"/>
              <w:left w:type="dxa" w:w="100"/>
              <w:bottom w:type="dxa" w:w="80"/>
              <w:right w:type="dxa" w:w="100"/>
            </w:tcMar>
          </w:tcPr>
          <w:p>
            <w:pPr>
              <w:jc w:val="left"/>
            </w:pPr>
            <w:r>
              <w:rPr>
                <w:b/>
                <w:bCs/>
                <w:color w:val="1F2937"/>
                <w:sz w:val="20"/>
                <w:szCs w:val="20"/>
              </w:rPr>
              <w:t xml:space="preserve">Starts</w:t>
            </w:r>
          </w:p>
        </w:tc>
        <w:tc>
          <w:tcPr>
            <w:gridSpan w:val="2"/>
            <w:tcMar>
              <w:top w:type="dxa" w:w="80"/>
              <w:left w:type="dxa" w:w="100"/>
              <w:bottom w:type="dxa" w:w="80"/>
              <w:right w:type="dxa" w:w="100"/>
            </w:tcMar>
          </w:tcPr>
          <w:p>
            <w:r>
              <w:rPr>
                <w:color w:val="1F2937"/>
                <w:sz w:val="20"/>
                <w:szCs w:val="20"/>
              </w:rPr>
              <w:t xml:space="preserve">Immediately</w:t>
            </w:r>
          </w:p>
        </w:tc>
      </w:tr>
      <w:tr>
        <w:tc>
          <w:tcPr>
            <w:tcW w:type="dxa" w:w="1700"/>
            <w:tcMar>
              <w:top w:type="dxa" w:w="80"/>
              <w:left w:type="dxa" w:w="100"/>
              <w:bottom w:type="dxa" w:w="80"/>
              <w:right w:type="dxa" w:w="100"/>
            </w:tcMar>
          </w:tcPr>
          <w:p>
            <w:pPr>
              <w:jc w:val="left"/>
            </w:pPr>
            <w:r>
              <w:rPr>
                <w:b/>
                <w:bCs/>
                <w:color w:val="1F2937"/>
                <w:sz w:val="20"/>
                <w:szCs w:val="20"/>
              </w:rPr>
              <w:t xml:space="preserve">Tasks</w:t>
            </w:r>
          </w:p>
        </w:tc>
        <w:tc>
          <w:tcPr>
            <w:gridSpan w:val="2"/>
            <w:tcMar>
              <w:top w:type="dxa" w:w="80"/>
              <w:left w:type="dxa" w:w="100"/>
              <w:bottom w:type="dxa" w:w="80"/>
              <w:right w:type="dxa" w:w="100"/>
            </w:tcMar>
          </w:tcPr>
          <w:p>
            <w:pPr>
              <w:pStyle w:val="ListParagraph"/>
              <w:numPr>
                <w:ilvl w:val="0"/>
                <w:numId w:val="2"/>
              </w:numPr>
              <w:spacing w:after="40"/>
            </w:pPr>
            <w:r>
              <w:rPr>
                <w:color w:val="1F2937"/>
                <w:sz w:val="20"/>
                <w:szCs w:val="20"/>
              </w:rPr>
              <w:t xml:space="preserve">Build a map UI (Leaflet or Mapbox) showing facilities coloured by predicted parking pressure.</w:t>
            </w:r>
          </w:p>
          <w:p>
            <w:pPr>
              <w:pStyle w:val="ListParagraph"/>
              <w:numPr>
                <w:ilvl w:val="0"/>
                <w:numId w:val="2"/>
              </w:numPr>
              <w:spacing w:after="40"/>
            </w:pPr>
            <w:r>
              <w:rPr>
                <w:color w:val="1F2937"/>
                <w:sz w:val="20"/>
                <w:szCs w:val="20"/>
              </w:rPr>
              <w:t xml:space="preserve">Show a visible calibration/confidence indicator per facility — not every point should be presented as equally certain, since many will still be uncalibrated.</w:t>
            </w:r>
          </w:p>
          <w:p>
            <w:pPr>
              <w:pStyle w:val="ListParagraph"/>
              <w:numPr>
                <w:ilvl w:val="0"/>
                <w:numId w:val="2"/>
              </w:numPr>
              <w:spacing w:after="40"/>
            </w:pPr>
            <w:r>
              <w:rPr>
                <w:color w:val="1F2937"/>
                <w:sz w:val="20"/>
                <w:szCs w:val="20"/>
              </w:rPr>
              <w:t xml:space="preserve">Integrate against Person 5's mock API first, then the real one once available.</w:t>
            </w:r>
          </w:p>
          <w:p>
            <w:pPr>
              <w:pStyle w:val="ListParagraph"/>
              <w:numPr>
                <w:ilvl w:val="0"/>
                <w:numId w:val="2"/>
              </w:numPr>
              <w:spacing w:after="40"/>
            </w:pPr>
            <w:r>
              <w:rPr>
                <w:color w:val="1F2937"/>
                <w:sz w:val="20"/>
                <w:szCs w:val="20"/>
              </w:rPr>
              <w:t xml:space="preserve">Deploy backend (Render/Railway) and frontend (Vercel/Netlify).</w:t>
            </w:r>
          </w:p>
          <w:p>
            <w:pPr>
              <w:pStyle w:val="ListParagraph"/>
              <w:numPr>
                <w:ilvl w:val="0"/>
                <w:numId w:val="2"/>
              </w:numPr>
              <w:spacing w:after="40"/>
            </w:pPr>
            <w:r>
              <w:rPr>
                <w:color w:val="1F2937"/>
                <w:sz w:val="20"/>
                <w:szCs w:val="20"/>
              </w:rPr>
              <w:t xml:space="preserve">Configure environment variables so TOMTOM_API_KEY and other secrets live only on the backend host.</w:t>
            </w:r>
          </w:p>
        </w:tc>
      </w:tr>
      <w:tr>
        <w:tc>
          <w:tcPr>
            <w:tcW w:type="dxa" w:w="1700"/>
            <w:tcMar>
              <w:top w:type="dxa" w:w="80"/>
              <w:left w:type="dxa" w:w="100"/>
              <w:bottom w:type="dxa" w:w="80"/>
              <w:right w:type="dxa" w:w="100"/>
            </w:tcMar>
          </w:tcPr>
          <w:p>
            <w:pPr>
              <w:jc w:val="left"/>
            </w:pPr>
            <w:r>
              <w:rPr>
                <w:b/>
                <w:bCs/>
                <w:color w:val="1F2937"/>
                <w:sz w:val="20"/>
                <w:szCs w:val="20"/>
              </w:rPr>
              <w:t xml:space="preserve">Depends on</w:t>
            </w:r>
          </w:p>
        </w:tc>
        <w:tc>
          <w:tcPr>
            <w:gridSpan w:val="2"/>
            <w:tcMar>
              <w:top w:type="dxa" w:w="80"/>
              <w:left w:type="dxa" w:w="100"/>
              <w:bottom w:type="dxa" w:w="80"/>
              <w:right w:type="dxa" w:w="100"/>
            </w:tcMar>
          </w:tcPr>
          <w:p>
            <w:r>
              <w:rPr>
                <w:color w:val="1F2937"/>
                <w:sz w:val="20"/>
                <w:szCs w:val="20"/>
              </w:rPr>
              <w:t xml:space="preserve">Person 5 (API contract). Can build against mock data before that is final.</w:t>
            </w:r>
          </w:p>
        </w:tc>
      </w:tr>
      <w:tr>
        <w:tc>
          <w:tcPr>
            <w:tcW w:type="dxa" w:w="1700"/>
            <w:tcMar>
              <w:top w:type="dxa" w:w="80"/>
              <w:left w:type="dxa" w:w="100"/>
              <w:bottom w:type="dxa" w:w="80"/>
              <w:right w:type="dxa" w:w="100"/>
            </w:tcMar>
          </w:tcPr>
          <w:p>
            <w:pPr>
              <w:jc w:val="left"/>
            </w:pPr>
            <w:r>
              <w:rPr>
                <w:b/>
                <w:bCs/>
                <w:color w:val="1F2937"/>
                <w:sz w:val="20"/>
                <w:szCs w:val="20"/>
              </w:rPr>
              <w:t xml:space="preserve">Deliverable</w:t>
            </w:r>
          </w:p>
        </w:tc>
        <w:tc>
          <w:tcPr>
            <w:gridSpan w:val="2"/>
            <w:tcMar>
              <w:top w:type="dxa" w:w="80"/>
              <w:left w:type="dxa" w:w="100"/>
              <w:bottom w:type="dxa" w:w="80"/>
              <w:right w:type="dxa" w:w="100"/>
            </w:tcMar>
          </w:tcPr>
          <w:p>
            <w:r>
              <w:rPr>
                <w:color w:val="1F2937"/>
                <w:sz w:val="20"/>
                <w:szCs w:val="20"/>
              </w:rPr>
              <w:t xml:space="preserve">Deployed, working UI and hosted backend.</w:t>
            </w:r>
          </w:p>
        </w:tc>
      </w:tr>
    </w:tbl>
    <w:p>
      <w:pPr>
        <w:pStyle w:val="Heading1"/>
        <w:spacing w:after="160" w:before="320"/>
      </w:pPr>
      <w:r>
        <w:rPr>
          <w:b/>
          <w:bCs/>
          <w:color w:val="1F2937"/>
          <w:sz w:val="30"/>
          <w:szCs w:val="30"/>
        </w:rPr>
        <w:t xml:space="preserve">5. Sequencing summary</w:t>
      </w:r>
    </w:p>
    <w:p>
      <w:pPr>
        <w:pStyle w:val="ListParagraph"/>
        <w:numPr>
          <w:ilvl w:val="0"/>
          <w:numId w:val="2"/>
        </w:numPr>
        <w:spacing w:after="60"/>
      </w:pPr>
      <w:r>
        <w:rPr>
          <w:color w:val="1F2937"/>
          <w:sz w:val="21"/>
          <w:szCs w:val="21"/>
        </w:rPr>
        <w:t xml:space="preserve">Starts today, no dependencies: Person 1 (collection), Person 2 (EDA), Person 3 (pipeline on synthetic data), Person 5 (backend on mock data), Person 6 (UI on mock data).</w:t>
      </w:r>
    </w:p>
    <w:p>
      <w:pPr>
        <w:pStyle w:val="ListParagraph"/>
        <w:numPr>
          <w:ilvl w:val="0"/>
          <w:numId w:val="2"/>
        </w:numPr>
        <w:spacing w:after="60"/>
      </w:pPr>
      <w:r>
        <w:rPr>
          <w:color w:val="1F2937"/>
          <w:sz w:val="21"/>
          <w:szCs w:val="21"/>
        </w:rPr>
        <w:t xml:space="preserve">Gated: Person 4 starts once Person 1 confirms real-data volume and spread — expect 1-3 days of continuous 30-minute collection at the now-widened 40-facility coverage.</w:t>
      </w:r>
    </w:p>
    <w:p>
      <w:pPr>
        <w:pStyle w:val="ListParagraph"/>
        <w:numPr>
          <w:ilvl w:val="0"/>
          <w:numId w:val="2"/>
        </w:numPr>
        <w:spacing w:after="60"/>
      </w:pPr>
      <w:r>
        <w:rPr>
          <w:color w:val="1F2937"/>
          <w:sz w:val="21"/>
          <w:szCs w:val="21"/>
        </w:rPr>
        <w:t xml:space="preserve">Final integration: Person 5 swaps in Person 4's real model; Person 6 swaps in Person 5's real API. Do this late, once both sides are stable, to avoid rework.</w:t>
      </w:r>
    </w:p>
    <w:p>
      <w:pPr>
        <w:pStyle w:val="Heading1"/>
        <w:spacing w:after="160" w:before="320"/>
      </w:pPr>
      <w:r>
        <w:rPr>
          <w:b/>
          <w:bCs/>
          <w:color w:val="1F2937"/>
          <w:sz w:val="30"/>
          <w:szCs w:val="30"/>
        </w:rPr>
        <w:t xml:space="preserve">6. Risks to watch</w:t>
      </w:r>
    </w:p>
    <w:p>
      <w:pPr>
        <w:pStyle w:val="ListParagraph"/>
        <w:numPr>
          <w:ilvl w:val="0"/>
          <w:numId w:val="2"/>
        </w:numPr>
        <w:spacing w:after="60"/>
      </w:pPr>
      <w:r>
        <w:rPr>
          <w:color w:val="1F2937"/>
          <w:sz w:val="21"/>
          <w:szCs w:val="21"/>
        </w:rPr>
        <w:t xml:space="preserve">TomTom free-tier rate limit (~2,500 requests/day) — at 40 facilities / 30-min intervals usage is roughly 1,280/day, but leave margin if Person 1 or Person 4 also run manual/ad-hoc calls against the same key.</w:t>
      </w:r>
    </w:p>
    <w:p>
      <w:pPr>
        <w:pStyle w:val="ListParagraph"/>
        <w:numPr>
          <w:ilvl w:val="0"/>
          <w:numId w:val="2"/>
        </w:numPr>
        <w:spacing w:after="60"/>
      </w:pPr>
      <w:r>
        <w:rPr>
          <w:color w:val="1F2937"/>
          <w:sz w:val="21"/>
          <w:szCs w:val="21"/>
        </w:rPr>
        <w:t xml:space="preserve">N_SAMPLE_FACILITIES uses .head(40), which is file order, not a verified zone-balanced sample. Confirm this before treating the wider run as genuinely more representative (see Section 2 and Person 1 tasks).</w:t>
      </w:r>
    </w:p>
    <w:p>
      <w:pPr>
        <w:pStyle w:val="ListParagraph"/>
        <w:numPr>
          <w:ilvl w:val="0"/>
          <w:numId w:val="2"/>
        </w:numPr>
        <w:spacing w:after="60"/>
      </w:pPr>
      <w:r>
        <w:rPr>
          <w:color w:val="1F2937"/>
          <w:sz w:val="21"/>
          <w:szCs w:val="21"/>
        </w:rPr>
        <w:t xml:space="preserve">Real spot-check data is still small (10-20 observations). Any reported model metric should say so plainly rather than imply a larger validated ground truth.</w:t>
      </w:r>
    </w:p>
    <w:p>
      <w:pPr>
        <w:pStyle w:val="ListParagraph"/>
        <w:numPr>
          <w:ilvl w:val="0"/>
          <w:numId w:val="2"/>
        </w:numPr>
        <w:spacing w:after="60"/>
      </w:pPr>
      <w:r>
        <w:rPr>
          <w:color w:val="1F2937"/>
          <w:sz w:val="21"/>
          <w:szCs w:val="21"/>
        </w:rPr>
        <w:t xml:space="preserve">Capacity data is reported for under 2% of facilities. Do not backfill missing capacity with guessed values anywhere in modelling or UI.</w:t>
      </w:r>
    </w:p>
    <w:p>
      <w:pPr>
        <w:pStyle w:val="ListParagraph"/>
        <w:numPr>
          <w:ilvl w:val="0"/>
          <w:numId w:val="2"/>
        </w:numPr>
        <w:spacing w:after="60"/>
      </w:pPr>
      <w:r>
        <w:rPr>
          <w:color w:val="1F2937"/>
          <w:sz w:val="21"/>
          <w:szCs w:val="21"/>
        </w:rPr>
        <w:t xml:space="preserve">The spot-check parking_pressure_score / master-dataset parking_pressure_score naming collision (Section 3) should be fixed before Person 4 and Person 5 both start reading from these files.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2026-08-25T09:11:35.671Z</dcterms:created>
  <dcterms:modified xsi:type="dcterms:W3CDTF">2026-08-25T09:11:35.671Z</dcterms:modified>
</cp:coreProperties>
</file>

<file path=docProps/custom.xml><?xml version="1.0" encoding="utf-8"?>
<Properties xmlns="http://schemas.openxmlformats.org/officeDocument/2006/custom-properties" xmlns:vt="http://schemas.openxmlformats.org/officeDocument/2006/docPropsVTypes"/>
</file>