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ABEB2" w14:textId="4DF4A9E8" w:rsidR="008A080A" w:rsidRDefault="00493271">
      <w:r w:rsidRPr="00493271">
        <w:t xml:space="preserve">We </w:t>
      </w:r>
      <w:r>
        <w:t>present</w:t>
      </w:r>
      <w:r w:rsidRPr="00493271">
        <w:t xml:space="preserve"> a low-cost, solvent-resistant, open-source fraction collector that delivers real-time, volume-based sampling for automated flow chemistry.</w:t>
      </w:r>
      <w:r>
        <w:rPr>
          <w:noProof/>
        </w:rPr>
        <w:drawing>
          <wp:inline distT="0" distB="0" distL="0" distR="0" wp14:anchorId="488E9FA5" wp14:editId="3E26FA21">
            <wp:extent cx="2880995" cy="1354455"/>
            <wp:effectExtent l="0" t="0" r="0" b="0"/>
            <wp:docPr id="147724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995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0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E5F"/>
    <w:rsid w:val="0005416E"/>
    <w:rsid w:val="001819F9"/>
    <w:rsid w:val="00493271"/>
    <w:rsid w:val="007D070E"/>
    <w:rsid w:val="0081226B"/>
    <w:rsid w:val="008A080A"/>
    <w:rsid w:val="00B24E5F"/>
    <w:rsid w:val="00BD1DF7"/>
    <w:rsid w:val="00DD598E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C0F17"/>
  <w15:chartTrackingRefBased/>
  <w15:docId w15:val="{4753D23A-90BD-462E-A986-70D97EF1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Hongchen Wang</dc:creator>
  <cp:keywords/>
  <dc:description/>
  <cp:lastModifiedBy>Hongchen Wang</cp:lastModifiedBy>
  <cp:revision>2</cp:revision>
  <dcterms:created xsi:type="dcterms:W3CDTF">2025-12-11T19:48:00Z</dcterms:created>
  <dcterms:modified xsi:type="dcterms:W3CDTF">2025-12-11T19:50:00Z</dcterms:modified>
</cp:coreProperties>
</file>