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title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(Julvez et al., 2011; Signes-Pastor et al., 2019; Valera-Gran et al., 2017)</w:t>
      </w:r>
      <w:r>
        <w:t xml:space="preserve">.</w:t>
      </w:r>
    </w:p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1" w:name="ref-Julvez2011"/>
    <w:p>
      <w:pPr>
        <w:pStyle w:val="Bibliography"/>
      </w:pPr>
      <w:r>
        <w:t xml:space="preserve">Julvez, J., Forns, M., Ribas-Fitó, N., Torrent, M., Sunyer, J., 2011. Attention behavior and hyperactivity and concurrent neurocognitive and social competence functioning in 4-year-olds from two population-based birth cohorts. European Psychiatry 26, 381–389.</w:t>
      </w:r>
      <w:r>
        <w:t xml:space="preserve"> </w:t>
      </w:r>
      <w:hyperlink r:id="rId20">
        <w:r>
          <w:rPr>
            <w:rStyle w:val="Hyperlink"/>
          </w:rPr>
          <w:t xml:space="preserve">https://doi.org/10.1016/j.eurpsy.2010.03.013</w:t>
        </w:r>
      </w:hyperlink>
    </w:p>
    <w:bookmarkEnd w:id="21"/>
    <w:bookmarkStart w:id="23" w:name="ref-Signes-Pastor2019a"/>
    <w:p>
      <w:pPr>
        <w:pStyle w:val="Bibliography"/>
      </w:pPr>
      <w:r>
        <w:t xml:space="preserve">Signes-Pastor, A.J., Vioque, J., Navarrete-Muñoz, E.M., Carey, M., Garcı́a-Villarino, M., Fernández-Somoano, A., Tardón, A., Santa-Marina, L., Irizar, A., Casas, M., Guxens, M., Llop, S., Soler-Blasco, R., Garcı́a-de-la-Hera, M., Karagas, M.R., Meharg, A.A., 2019. Inorganic arsenic exposure and neuropsychological development of children of 4–5 years of age living in spain. Environmental Research 174, 135–142.</w:t>
      </w:r>
      <w:r>
        <w:t xml:space="preserve"> </w:t>
      </w:r>
      <w:hyperlink r:id="rId22">
        <w:r>
          <w:rPr>
            <w:rStyle w:val="Hyperlink"/>
          </w:rPr>
          <w:t xml:space="preserve">https://doi.org/10.1016/j.envres.2019.04.028</w:t>
        </w:r>
      </w:hyperlink>
    </w:p>
    <w:bookmarkEnd w:id="23"/>
    <w:bookmarkStart w:id="25" w:name="ref-Valera-Gran2017"/>
    <w:p>
      <w:pPr>
        <w:pStyle w:val="Bibliography"/>
      </w:pPr>
      <w:r>
        <w:t xml:space="preserve">Valera-Gran, D., Navarrete-Muñoz, E.M., Garcia de la Hera, M., Ferná´ndez-Somoano, A., Tardón, A., Ibarluzea, J., Balluerka, N., Murcia, M., González-Safont, L., Romaguera, D., Julvez, J., Vioque, J., 2017. Effect of maternal high dosages of folic acid supplements on neurocognitive development in children at 4–5 years of age: The prospective birth cohort infancia y medio ambiente (INMA) study. The American Journal of Clinical Nutrition ajcn152769.</w:t>
      </w:r>
      <w:r>
        <w:t xml:space="preserve"> </w:t>
      </w:r>
      <w:hyperlink r:id="rId24">
        <w:r>
          <w:rPr>
            <w:rStyle w:val="Hyperlink"/>
          </w:rPr>
          <w:t xml:space="preserve">https://doi.org/10.3945/ajcn.117.152769</w:t>
        </w:r>
      </w:hyperlink>
    </w:p>
    <w:bookmarkEnd w:id="25"/>
    <w:bookmarkEnd w:id="26"/>
    <w:bookmarkEnd w:id="27"/>
    <w:bookmarkStart w:id="28" w:name="tables"/>
    <w:p>
      <w:pPr>
        <w:pStyle w:val="Heading1"/>
      </w:pPr>
      <w:r>
        <w:t xml:space="preserve">Tables</w:t>
      </w:r>
    </w:p>
    <w:bookmarkEnd w:id="28"/>
    <w:bookmarkStart w:id="29" w:name="figures"/>
    <w:p>
      <w:pPr>
        <w:pStyle w:val="Heading1"/>
      </w:pPr>
      <w:r>
        <w:t xml:space="preserve">Figures</w:t>
      </w:r>
    </w:p>
    <w:bookmarkEnd w:id="29"/>
    <w:sectPr w:rsidR="001157BC" w:rsidRPr="00654A8F" w:rsidSect="007C47D6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1205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AC617" w14:textId="13B64E63" w:rsidR="007C47D6" w:rsidRDefault="007C47D6" w:rsidP="00587F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80737A" w14:textId="77777777" w:rsidR="007C47D6" w:rsidRDefault="007C47D6" w:rsidP="007C47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04988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5C1110" w14:textId="56E73D1F" w:rsidR="007C47D6" w:rsidRDefault="007C47D6" w:rsidP="00587F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924B35" w14:textId="77777777" w:rsidR="007C47D6" w:rsidRDefault="007C47D6" w:rsidP="007C47D6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2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="Times New Roman (Body CS)" w:eastAsiaTheme="minorHAnsi" w:hAnsiTheme="minorHAnsi"/>
        <w:sz w:val="22"/>
        <w:szCs w:val="22"/>
        <w:lang w:bidi="ar-SA" w:eastAsia="en-US" w:val="en-US"/>
      </w:rPr>
    </w:rPrDefault>
    <w:pPrDefault>
      <w:pPr>
        <w:spacing w:after="12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ED5675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b/>
      <w:color w:val="0432FF"/>
      <w:sz w:val="28"/>
      <w:szCs w:val="32"/>
    </w:rPr>
  </w:style>
  <w:style w:styleId="Heading2" w:type="paragraph">
    <w:name w:val="heading 2"/>
    <w:basedOn w:val="Normal"/>
    <w:next w:val="Normal"/>
    <w:link w:val="Heading2Char"/>
    <w:autoRedefine/>
    <w:uiPriority w:val="9"/>
    <w:unhideWhenUsed/>
    <w:qFormat/>
    <w:rsid w:val="00C23AA2"/>
    <w:pPr>
      <w:keepNext/>
      <w:keepLines/>
      <w:spacing w:before="200"/>
      <w:outlineLvl w:val="1"/>
    </w:pPr>
    <w:rPr>
      <w:rFonts w:ascii="Calibri" w:cstheme="majorBidi" w:eastAsiaTheme="majorEastAsia" w:hAnsi="Calibri"/>
      <w:b/>
      <w:bCs/>
      <w:color w:themeColor="text1" w:val="000000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C23AA2"/>
    <w:rPr>
      <w:rFonts w:ascii="Calibri" w:cstheme="majorBidi" w:eastAsiaTheme="majorEastAsia" w:hAnsi="Calibri"/>
      <w:b/>
      <w:bCs/>
      <w:color w:themeColor="text1" w:val="000000"/>
      <w:szCs w:val="26"/>
    </w:rPr>
  </w:style>
  <w:style w:customStyle="1" w:styleId="Heading1Char" w:type="character">
    <w:name w:val="Heading 1 Char"/>
    <w:basedOn w:val="DefaultParagraphFont"/>
    <w:link w:val="Heading1"/>
    <w:uiPriority w:val="9"/>
    <w:rsid w:val="00ED5675"/>
    <w:rPr>
      <w:rFonts w:asciiTheme="majorHAnsi" w:cstheme="majorBidi" w:eastAsiaTheme="majorEastAsia" w:hAnsiTheme="majorHAnsi"/>
      <w:b/>
      <w:color w:val="0432FF"/>
      <w:sz w:val="28"/>
      <w:szCs w:val="32"/>
    </w:rPr>
  </w:style>
  <w:style w:styleId="LineNumber" w:type="character">
    <w:name w:val="line number"/>
    <w:basedOn w:val="DefaultParagraphFont"/>
    <w:uiPriority w:val="99"/>
    <w:semiHidden/>
    <w:unhideWhenUsed/>
    <w:rsid w:val="007C47D6"/>
  </w:style>
  <w:style w:styleId="Footer" w:type="paragraph">
    <w:name w:val="footer"/>
    <w:basedOn w:val="Normal"/>
    <w:link w:val="FooterChar"/>
    <w:uiPriority w:val="99"/>
    <w:unhideWhenUsed/>
    <w:rsid w:val="007C47D6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7C47D6"/>
  </w:style>
  <w:style w:styleId="PageNumber" w:type="character">
    <w:name w:val="page number"/>
    <w:basedOn w:val="DefaultParagraphFont"/>
    <w:uiPriority w:val="99"/>
    <w:semiHidden/>
    <w:unhideWhenUsed/>
    <w:rsid w:val="007C47D6"/>
  </w:style>
  <w:style w:styleId="Title" w:type="paragraph">
    <w:name w:val="Title"/>
    <w:basedOn w:val="Normal"/>
    <w:next w:val="Normal"/>
    <w:link w:val="TitleChar"/>
    <w:uiPriority w:val="10"/>
    <w:qFormat/>
    <w:rsid w:val="007C47D6"/>
    <w:pPr>
      <w:contextualSpacing/>
    </w:pPr>
    <w:rPr>
      <w:rFonts w:asciiTheme="majorHAnsi" w:cstheme="majorBidi" w:eastAsiaTheme="majorEastAsia" w:hAnsiTheme="majorHAnsi"/>
      <w:b/>
      <w:color w:themeColor="text1" w:val="000000"/>
      <w:spacing w:val="-10"/>
      <w:kern w:val="28"/>
      <w:sz w:val="3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7C47D6"/>
    <w:rPr>
      <w:rFonts w:asciiTheme="majorHAnsi" w:cstheme="majorBidi" w:eastAsiaTheme="majorEastAsia" w:hAnsiTheme="majorHAnsi"/>
      <w:b/>
      <w:color w:themeColor="text1" w:val="000000"/>
      <w:spacing w:val="-10"/>
      <w:kern w:val="28"/>
      <w:sz w:val="36"/>
      <w:szCs w:val="56"/>
    </w:rPr>
  </w:style>
  <w:style w:styleId="TableGrid" w:type="table">
    <w:name w:val="Table Grid"/>
    <w:basedOn w:val="TableNormal"/>
    <w:uiPriority w:val="39"/>
    <w:rsid w:val="001157BC"/>
    <w:pPr>
      <w:spacing w:after="0" w:line="240" w:lineRule="auto"/>
    </w:pPr>
    <w:rPr>
      <w:sz w:val="16"/>
    </w:rPr>
    <w:tblPr>
      <w:tblBorders>
        <w:top w:color="auto" w:space="0" w:sz="4" w:val="single"/>
        <w:bottom w:color="auto" w:space="0" w:sz="4" w:val="single"/>
        <w:insideH w:color="auto" w:space="0" w:sz="4" w:val="single"/>
      </w:tblBorders>
    </w:tblPr>
  </w:style>
  <w:style w:customStyle="1" w:styleId="Style1" w:type="table">
    <w:name w:val="Style1"/>
    <w:basedOn w:val="TableNormal"/>
    <w:uiPriority w:val="99"/>
    <w:rsid w:val="00C7048D"/>
    <w:pPr>
      <w:spacing w:after="0" w:line="240" w:lineRule="auto"/>
    </w:pPr>
    <w:rPr>
      <w:sz w:val="18"/>
    </w:rPr>
    <w:tblPr>
      <w:tblBorders>
        <w:top w:color="auto" w:space="0" w:sz="4" w:val="single"/>
        <w:bottom w:color="auto" w:space="0" w:sz="4" w:val="single"/>
        <w:insideH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2" Target="https://doi.org/10.1016/j.envres.2019.04.028" TargetMode="External" /><Relationship Type="http://schemas.openxmlformats.org/officeDocument/2006/relationships/hyperlink" Id="rId20" Target="https://doi.org/10.1016/j.eurpsy.2010.03.013" TargetMode="External" /><Relationship Type="http://schemas.openxmlformats.org/officeDocument/2006/relationships/hyperlink" Id="rId24" Target="https://doi.org/10.3945/ajcn.117.15276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16/j.envres.2019.04.028" TargetMode="External" /><Relationship Type="http://schemas.openxmlformats.org/officeDocument/2006/relationships/hyperlink" Id="rId20" Target="https://doi.org/10.1016/j.eurpsy.2010.03.013" TargetMode="External" /><Relationship Type="http://schemas.openxmlformats.org/officeDocument/2006/relationships/hyperlink" Id="rId24" Target="https://doi.org/10.3945/ajcn.117.1527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title</dc:title>
  <dc:creator/>
  <cp:keywords/>
  <dcterms:created xsi:type="dcterms:W3CDTF">2023-03-13T10:46:53Z</dcterms:created>
  <dcterms:modified xsi:type="dcterms:W3CDTF">2023-03-13T10:46:53Z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>kjlk</vt:lpwstr>
  </property>
  <property fmtid="{D5CDD505-2E9C-101B-9397-08002B2CF9AE}" pid="3" name="bibliography">
    <vt:lpwstr>/cloud/project/metadata/PR711_References.bib</vt:lpwstr>
  </property>
  <property fmtid="{D5CDD505-2E9C-101B-9397-08002B2CF9AE}" pid="4" name="csl">
    <vt:lpwstr>/cloud/project/metadata/environmental-research.csl</vt:lpwstr>
  </property>
  <property fmtid="{D5CDD505-2E9C-101B-9397-08002B2CF9AE}" pid="5" name="date">
    <vt:lpwstr>13 March, 2023</vt:lpwstr>
  </property>
  <property fmtid="{D5CDD505-2E9C-101B-9397-08002B2CF9AE}" pid="6" name="editor_options">
    <vt:lpwstr/>
  </property>
  <property fmtid="{D5CDD505-2E9C-101B-9397-08002B2CF9AE}" pid="7" name="output">
    <vt:lpwstr/>
  </property>
</Properties>
</file>