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w:t>
      </w:r>
      <w:r>
        <w:t xml:space="preserve"> </w:t>
      </w:r>
      <w:r>
        <w:t xml:space="preserve">unlocked</w:t>
      </w:r>
      <w:r>
        <w:t xml:space="preserve"> </w:t>
      </w:r>
      <w:r>
        <w:t xml:space="preserve">me</w:t>
      </w:r>
      <w:r>
        <w:t xml:space="preserve"> </w:t>
      </w:r>
      <w:r>
        <w:t xml:space="preserve">an</w:t>
      </w:r>
      <w:r>
        <w:t xml:space="preserve"> </w:t>
      </w:r>
      <w:r>
        <w:t xml:space="preserve">striking</w:t>
      </w:r>
      <w:r>
        <w:t xml:space="preserve"> </w:t>
      </w:r>
      <w:r>
        <w:t xml:space="preserve">ye</w:t>
      </w:r>
      <w:r>
        <w:t xml:space="preserve"> </w:t>
      </w:r>
      <w:r>
        <w:t xml:space="preserve">perceive.</w:t>
      </w:r>
    </w:p>
    <w:p>
      <w:pPr>
        <w:pStyle w:val="Date"/>
      </w:pPr>
      <w:r>
        <w:t xml:space="preserve">28</w:t>
      </w:r>
      <w:r>
        <w:t xml:space="preserve"> </w:t>
      </w:r>
      <w:r>
        <w:t xml:space="preserve">April,</w:t>
      </w:r>
      <w:r>
        <w:t xml:space="preserve"> </w:t>
      </w:r>
      <w:r>
        <w:t xml:space="preserve">2023</w:t>
      </w:r>
    </w:p>
    <w:bookmarkStart w:id="20" w:name="authors"/>
    <w:p>
      <w:pPr>
        <w:pStyle w:val="Heading1"/>
      </w:pPr>
      <w:r>
        <w:t xml:space="preserve">Authors</w:t>
      </w:r>
    </w:p>
    <w:p>
      <w:pPr>
        <w:pStyle w:val="FirstParagraph"/>
      </w:pPr>
      <w:r>
        <w:t xml:space="preserve">Perez, T.</w:t>
      </w:r>
      <w:r>
        <w:rPr>
          <w:vertAlign w:val="superscript"/>
        </w:rPr>
        <w:t xml:space="preserve">1</w:t>
      </w:r>
      <w:r>
        <w:t xml:space="preserve">, Coto, S.</w:t>
      </w:r>
      <w:r>
        <w:rPr>
          <w:vertAlign w:val="superscript"/>
        </w:rPr>
        <w:t xml:space="preserve">2</w:t>
      </w:r>
      <w:r>
        <w:t xml:space="preserve">, Camblor, J.</w:t>
      </w:r>
      <w:r>
        <w:rPr>
          <w:vertAlign w:val="superscript"/>
        </w:rPr>
        <w:t xml:space="preserve">3</w:t>
      </w:r>
    </w:p>
    <w:p>
      <w:pPr>
        <w:pStyle w:val="BodyText"/>
      </w:pPr>
      <w:r>
        <w:rPr>
          <w:vertAlign w:val="superscript"/>
        </w:rPr>
        <w:t xml:space="preserve">1</w:t>
      </w:r>
      <w:r>
        <w:t xml:space="preserve">Department Medicine, College, USA.</w:t>
      </w:r>
      <w:r>
        <w:t xml:space="preserve"> </w:t>
      </w:r>
      <w:r>
        <w:rPr>
          <w:vertAlign w:val="superscript"/>
        </w:rPr>
        <w:t xml:space="preserve">2</w:t>
      </w:r>
      <w:r>
        <w:t xml:space="preserve">Universidad Madrid, Spain.</w:t>
      </w:r>
      <w:r>
        <w:t xml:space="preserve"> </w:t>
      </w:r>
      <w:r>
        <w:rPr>
          <w:vertAlign w:val="superscript"/>
        </w:rPr>
        <w:t xml:space="preserve">3</w:t>
      </w:r>
      <w:r>
        <w:t xml:space="preserve">Instituto de Salud, Spain.</w:t>
      </w:r>
    </w:p>
    <w:bookmarkEnd w:id="20"/>
    <w:bookmarkStart w:id="21" w:name="abstract"/>
    <w:p>
      <w:pPr>
        <w:pStyle w:val="Heading1"/>
      </w:pPr>
      <w:r>
        <w:t xml:space="preserve">Abstract</w:t>
      </w:r>
    </w:p>
    <w:p>
      <w:pPr>
        <w:pStyle w:val="FirstParagraph"/>
      </w:pPr>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w:t>
      </w:r>
    </w:p>
    <w:p>
      <w:pPr>
        <w:pStyle w:val="BodyText"/>
      </w:pPr>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w:t>
      </w:r>
    </w:p>
    <w:bookmarkEnd w:id="21"/>
    <w:bookmarkStart w:id="22" w:name="keywords"/>
    <w:p>
      <w:pPr>
        <w:pStyle w:val="Heading1"/>
      </w:pPr>
      <w:r>
        <w:t xml:space="preserve">Keywords</w:t>
      </w:r>
    </w:p>
    <w:p>
      <w:pPr>
        <w:pStyle w:val="FirstParagraph"/>
      </w:pPr>
      <w:r>
        <w:t xml:space="preserve">Moments; Objection; Elsewhere; Preferred</w:t>
      </w:r>
    </w:p>
    <w:p>
      <w:r>
        <w:br w:type="page"/>
      </w:r>
    </w:p>
    <w:bookmarkEnd w:id="22"/>
    <w:bookmarkStart w:id="23" w:name="introduction"/>
    <w:p>
      <w:pPr>
        <w:pStyle w:val="Heading1"/>
      </w:pPr>
      <w:r>
        <w:t xml:space="preserve">Introduction</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(Campmans-Kuijpers and Dijkstra, 2021)</w:t>
      </w:r>
      <w:r>
        <w:t xml:space="preserve">.</w:t>
      </w:r>
    </w:p>
    <w:p>
      <w:r>
        <w:br w:type="page"/>
      </w:r>
    </w:p>
    <w:bookmarkEnd w:id="23"/>
    <w:bookmarkStart w:id="24" w:name="methods"/>
    <w:p>
      <w:pPr>
        <w:pStyle w:val="Heading1"/>
      </w:pPr>
      <w:r>
        <w:t xml:space="preserve">Methods</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(Beaton, 1976; Wadhwa, 2020)</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(Ścieszka and Klewicka, 2019)</w:t>
      </w:r>
      <w:r>
        <w:t xml:space="preserve">.</w:t>
      </w:r>
    </w:p>
    <w:p>
      <w:r>
        <w:br w:type="page"/>
      </w:r>
    </w:p>
    <w:bookmarkEnd w:id="24"/>
    <w:bookmarkStart w:id="25" w:name="results"/>
    <w:p>
      <w:pPr>
        <w:pStyle w:val="Heading1"/>
      </w:pPr>
      <w:r>
        <w:t xml:space="preserve">Results</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r>
        <w:t xml:space="preserve"> </w:t>
      </w:r>
      <w:r>
        <w:t xml:space="preserve">(Campmans-Kuijpers and Dijkstra, 2021)</w:t>
      </w:r>
      <w:r>
        <w:t xml:space="preserve">.</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(Menal-Puey et al., 2018; Ścieszka and Klewicka, 2019)</w:t>
      </w:r>
      <w:r>
        <w:t xml:space="preserve">.</w:t>
      </w:r>
    </w:p>
    <w:bookmarkEnd w:id="25"/>
    <w:bookmarkStart w:id="26" w:name="discussion"/>
    <w:p>
      <w:pPr>
        <w:pStyle w:val="Heading1"/>
      </w:pPr>
      <w:r>
        <w:t xml:space="preserve">Discussion</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(Campmans-Kuijpers and Dijkstra, 2021; Menal-Puey et al., 2018)</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(Sapeika, 1973)</w:t>
      </w:r>
      <w:r>
        <w:t xml:space="preserve">.</w:t>
      </w:r>
    </w:p>
    <w:bookmarkEnd w:id="26"/>
    <w:bookmarkStart w:id="27" w:name="conclusion"/>
    <w:p>
      <w:pPr>
        <w:pStyle w:val="Heading1"/>
      </w:pPr>
      <w:r>
        <w:t xml:space="preserve">Conclusion</w:t>
      </w:r>
    </w:p>
    <w:p>
      <w:pPr>
        <w:pStyle w:val="FirstParagraph"/>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(Beaton, 1976; Campmans-Kuijpers and Dijkstra, 2021)</w:t>
      </w:r>
      <w:r>
        <w:t xml:space="preserve">.</w:t>
      </w:r>
    </w:p>
    <w:p>
      <w:r>
        <w:br w:type="page"/>
      </w:r>
    </w:p>
    <w:bookmarkEnd w:id="27"/>
    <w:bookmarkStart w:id="42" w:name="references"/>
    <w:p>
      <w:pPr>
        <w:pStyle w:val="Heading1"/>
      </w:pPr>
      <w:r>
        <w:t xml:space="preserve">References</w:t>
      </w:r>
    </w:p>
    <w:bookmarkStart w:id="41" w:name="refs"/>
    <w:bookmarkStart w:id="28" w:name="ref-Beaton:1976aa"/>
    <w:p>
      <w:pPr>
        <w:pStyle w:val="Bibliography"/>
      </w:pPr>
      <w:r>
        <w:t xml:space="preserve">Beaton, G.H., 1976. Food fortification. Monogr Ser World Health Organ 370–388.</w:t>
      </w:r>
    </w:p>
    <w:bookmarkEnd w:id="28"/>
    <w:bookmarkStart w:id="30" w:name="ref-Campmans-Kuijpers:2021aa"/>
    <w:p>
      <w:pPr>
        <w:pStyle w:val="Bibliography"/>
      </w:pPr>
      <w:r>
        <w:t xml:space="preserve">Campmans-Kuijpers, M.J.E., Dijkstra, G., 2021. Food and food groups in inflammatory bowel disease (IBD): The design of the groningen anti-inflammatory diet (GrAID). Nutrients 13.</w:t>
      </w:r>
      <w:r>
        <w:t xml:space="preserve"> </w:t>
      </w:r>
      <w:hyperlink r:id="rId29">
        <w:r>
          <w:rPr>
            <w:rStyle w:val="Hyperlink"/>
          </w:rPr>
          <w:t xml:space="preserve">https://doi.org/10.3390/nu13041067</w:t>
        </w:r>
      </w:hyperlink>
    </w:p>
    <w:bookmarkEnd w:id="30"/>
    <w:bookmarkStart w:id="32" w:name="ref-Menal-Puey:2018aa"/>
    <w:p>
      <w:pPr>
        <w:pStyle w:val="Bibliography"/>
      </w:pPr>
      <w:r>
        <w:t xml:space="preserve">Menal-Puey, S., Martı́nez-Biarge, M., Marques-Lopes, I., 2018. Developing a food exchange system for meal planning in vegan children and adolescents. Nutrients 11.</w:t>
      </w:r>
      <w:r>
        <w:t xml:space="preserve"> </w:t>
      </w:r>
      <w:hyperlink r:id="rId31">
        <w:r>
          <w:rPr>
            <w:rStyle w:val="Hyperlink"/>
          </w:rPr>
          <w:t xml:space="preserve">https://doi.org/10.3390/nu11010043</w:t>
        </w:r>
      </w:hyperlink>
    </w:p>
    <w:bookmarkEnd w:id="32"/>
    <w:bookmarkStart w:id="34" w:name="ref-Sapeika:1973aa"/>
    <w:p>
      <w:pPr>
        <w:pStyle w:val="Bibliography"/>
      </w:pPr>
      <w:r>
        <w:t xml:space="preserve">Sapeika, N., 1973. Food additives. World Rev Nutr Diet 16, 334–362.</w:t>
      </w:r>
      <w:r>
        <w:t xml:space="preserve"> </w:t>
      </w:r>
      <w:hyperlink r:id="rId33">
        <w:r>
          <w:rPr>
            <w:rStyle w:val="Hyperlink"/>
          </w:rPr>
          <w:t xml:space="preserve">https://doi.org/10.1159/000393597</w:t>
        </w:r>
      </w:hyperlink>
    </w:p>
    <w:bookmarkEnd w:id="34"/>
    <w:bookmarkStart w:id="36" w:name="ref-Scieszka:2019aa"/>
    <w:p>
      <w:pPr>
        <w:pStyle w:val="Bibliography"/>
      </w:pPr>
      <w:r>
        <w:t xml:space="preserve">Ścieszka, S., Klewicka, E., 2019. Algae in food: A general review. Crit Rev Food Sci Nutr 59, 3538–3547.</w:t>
      </w:r>
      <w:r>
        <w:t xml:space="preserve"> </w:t>
      </w:r>
      <w:hyperlink r:id="rId35">
        <w:r>
          <w:rPr>
            <w:rStyle w:val="Hyperlink"/>
          </w:rPr>
          <w:t xml:space="preserve">https://doi.org/10.1080/10408398.2018.1496319</w:t>
        </w:r>
      </w:hyperlink>
    </w:p>
    <w:bookmarkEnd w:id="36"/>
    <w:bookmarkStart w:id="38" w:name="ref-Tsuboyama-Kasaoka:2022aa"/>
    <w:p>
      <w:pPr>
        <w:pStyle w:val="Bibliography"/>
      </w:pPr>
      <w:r>
        <w:t xml:space="preserve">Tsuboyama-Kasaoka, N., Hamanaka, K., Kikuchi, Y., Nakazawa, T., 2022. Similarities between disaster food and space food. J Nutr Sci Vitaminol (Tokyo) 68, 460–469.</w:t>
      </w:r>
      <w:r>
        <w:t xml:space="preserve"> </w:t>
      </w:r>
      <w:hyperlink r:id="rId37">
        <w:r>
          <w:rPr>
            <w:rStyle w:val="Hyperlink"/>
          </w:rPr>
          <w:t xml:space="preserve">https://doi.org/10.3177/jnsv.68.460</w:t>
        </w:r>
      </w:hyperlink>
    </w:p>
    <w:bookmarkEnd w:id="38"/>
    <w:bookmarkStart w:id="40" w:name="ref-Wadhwa:2020aa"/>
    <w:p>
      <w:pPr>
        <w:pStyle w:val="Bibliography"/>
      </w:pPr>
      <w:r>
        <w:t xml:space="preserve">Wadhwa, S., 2020. Understanding food as medicine through a system lens. Explore (NY) 16, 411–412.</w:t>
      </w:r>
      <w:r>
        <w:t xml:space="preserve"> </w:t>
      </w:r>
      <w:hyperlink r:id="rId39">
        <w:r>
          <w:rPr>
            <w:rStyle w:val="Hyperlink"/>
          </w:rPr>
          <w:t xml:space="preserve">https://doi.org/10.1016/j.explore.2020.08.009</w:t>
        </w:r>
      </w:hyperlink>
    </w:p>
    <w:bookmarkEnd w:id="40"/>
    <w:bookmarkEnd w:id="41"/>
    <w:p>
      <w:r>
        <w:br w:type="page"/>
      </w:r>
    </w:p>
    <w:bookmarkEnd w:id="42"/>
    <w:bookmarkStart w:id="43" w:name="tables-and-figure"/>
    <w:p>
      <w:pPr>
        <w:pStyle w:val="Heading1"/>
      </w:pPr>
      <w:r>
        <w:t xml:space="preserve">Tables and Figure</w:t>
      </w:r>
    </w:p>
    <w:p>
      <w:pPr>
        <w:pStyle w:val="FirstParagraph"/>
      </w:pPr>
      <w:r>
        <w:rPr>
          <w:bCs/>
          <w:b/>
        </w:rPr>
        <w:t xml:space="preserve">Table 1</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p>
      <w:pPr>
        <w:pStyle w:val="BodyText"/>
      </w:pPr>
      <w:r>
        <w:rPr>
          <w:bCs/>
          <w:b/>
        </w:rPr>
        <w:t xml:space="preserve">Table 2</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bookmarkEnd w:id="43"/>
    <w:bookmarkStart w:id="45" w:name="figures"/>
    <w:p>
      <w:pPr>
        <w:pStyle w:val="Heading1"/>
      </w:pPr>
      <w:r>
        <w:t xml:space="preserve">Figures</w:t>
      </w:r>
    </w:p>
    <w:p>
      <w:pPr>
        <w:pStyle w:val="FirstParagraph"/>
      </w:pPr>
      <w:r>
        <w:t xml:space="preserve">Figure 1: XXXXX</w:t>
      </w:r>
    </w:p>
    <w:p>
      <w:pPr>
        <w:pStyle w:val="BodyText"/>
      </w:pPr>
      <w:r>
        <w:drawing>
          <wp:inline>
            <wp:extent cx="5943600" cy="5539435"/>
            <wp:effectExtent b="0" l="0" r="0" t="0"/>
            <wp:docPr descr="" title="" id="1" name="Picture"/>
            <a:graphic>
              <a:graphicData uri="http://schemas.openxmlformats.org/drawingml/2006/picture">
                <pic:pic>
                  <pic:nvPicPr>
                    <pic:cNvPr descr="/Users/tonisignes/Desktop/Drive%20UMH/1.%20PROJECTS/PR344_Nitra_Slovakia_Scientific_Articles/3.%20Posit%20Projects/Reseach_Articles_EuroDisBioFood/figures/Fig1.png" id="0" name="Picture"/>
                    <pic:cNvPicPr>
                      <a:picLocks noChangeArrowheads="1" noChangeAspect="1"/>
                    </pic:cNvPicPr>
                  </pic:nvPicPr>
                  <pic:blipFill>
                    <a:blip r:embed="rId44"/>
                    <a:stretch>
                      <a:fillRect/>
                    </a:stretch>
                  </pic:blipFill>
                  <pic:spPr bwMode="auto">
                    <a:xfrm>
                      <a:off x="0" y="0"/>
                      <a:ext cx="5943600" cy="5539435"/>
                    </a:xfrm>
                    <a:prstGeom prst="rect">
                      <a:avLst/>
                    </a:prstGeom>
                    <a:noFill/>
                    <a:ln w="9525">
                      <a:noFill/>
                      <a:headEnd/>
                      <a:tailEnd/>
                    </a:ln>
                  </pic:spPr>
                </pic:pic>
              </a:graphicData>
            </a:graphic>
          </wp:inline>
        </w:drawing>
      </w:r>
    </w:p>
    <w:bookmarkEnd w:id="45"/>
    <w:bookmarkStart w:id="46" w:name="si"/>
    <w:p>
      <w:pPr>
        <w:pStyle w:val="Heading1"/>
      </w:pPr>
      <w:r>
        <w:t xml:space="preserve">SI</w:t>
      </w:r>
    </w:p>
    <w:p>
      <w:pPr>
        <w:pStyle w:val="FirstParagraph"/>
      </w:pPr>
      <w:r>
        <w:t xml:space="preserve">Here the support information.</w:t>
      </w:r>
    </w:p>
    <w:bookmarkEnd w:id="46"/>
    <w:sectPr w:rsidR="001157BC" w:rsidRPr="00654A8F" w:rsidSect="007C47D6">
      <w:footerReference r:id="rId10" w:type="even"/>
      <w:footerReference r:id="rId9" w:type="default"/>
      <w:pgSz w:h="15840" w:w="12240"/>
      <w:pgMar w:bottom="1440" w:footer="720" w:gutter="0" w:header="720" w:left="1440" w:right="1440" w:top="144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205488"/>
      <w:docPartObj>
        <w:docPartGallery w:val="Page Numbers (Bottom of Page)"/>
        <w:docPartUnique/>
      </w:docPartObj>
    </w:sdtPr>
    <w:sdtEndPr>
      <w:rPr>
        <w:rStyle w:val="PageNumber"/>
      </w:rPr>
    </w:sdtEndPr>
    <w:sdtContent>
      <w:p w14:paraId="7ADAC617" w14:textId="13B64E63"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80737A" w14:textId="77777777" w:rsidR="007C47D6" w:rsidRDefault="007C47D6" w:rsidP="007C4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498825"/>
      <w:docPartObj>
        <w:docPartGallery w:val="Page Numbers (Bottom of Page)"/>
        <w:docPartUnique/>
      </w:docPartObj>
    </w:sdtPr>
    <w:sdtEndPr>
      <w:rPr>
        <w:rStyle w:val="PageNumber"/>
      </w:rPr>
    </w:sdtEndPr>
    <w:sdtContent>
      <w:p w14:paraId="505C1110" w14:textId="56E73D1F"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924B35" w14:textId="77777777" w:rsidR="007C47D6" w:rsidRDefault="007C47D6" w:rsidP="007C47D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2"/>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imes New Roman (Body CS)" w:eastAsiaTheme="minorHAnsi" w:hAnsiTheme="minorHAnsi"/>
        <w:sz w:val="22"/>
        <w:szCs w:val="22"/>
        <w:lang w:bidi="ar-SA" w:eastAsia="en-US" w:val="en-US"/>
      </w:rPr>
    </w:rPrDefault>
    <w:pPrDefault>
      <w:pPr>
        <w:spacing w:after="12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ED5675"/>
    <w:pPr>
      <w:keepNext/>
      <w:keepLines/>
      <w:spacing w:before="240"/>
      <w:outlineLvl w:val="0"/>
    </w:pPr>
    <w:rPr>
      <w:rFonts w:asciiTheme="majorHAnsi" w:cstheme="majorBidi" w:eastAsiaTheme="majorEastAsia" w:hAnsiTheme="majorHAnsi"/>
      <w:b/>
      <w:color w:val="0432FF"/>
      <w:sz w:val="28"/>
      <w:szCs w:val="32"/>
    </w:rPr>
  </w:style>
  <w:style w:styleId="Heading2" w:type="paragraph">
    <w:name w:val="heading 2"/>
    <w:basedOn w:val="Normal"/>
    <w:next w:val="Normal"/>
    <w:link w:val="Heading2Char"/>
    <w:autoRedefine/>
    <w:uiPriority w:val="9"/>
    <w:unhideWhenUsed/>
    <w:qFormat/>
    <w:rsid w:val="00C23AA2"/>
    <w:pPr>
      <w:keepNext/>
      <w:keepLines/>
      <w:spacing w:before="200"/>
      <w:outlineLvl w:val="1"/>
    </w:pPr>
    <w:rPr>
      <w:rFonts w:ascii="Calibri" w:cstheme="majorBidi" w:eastAsiaTheme="majorEastAsia" w:hAnsi="Calibri"/>
      <w:b/>
      <w:bCs/>
      <w:color w:themeColor="text1" w:val="000000"/>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C23AA2"/>
    <w:rPr>
      <w:rFonts w:ascii="Calibri" w:cstheme="majorBidi" w:eastAsiaTheme="majorEastAsia" w:hAnsi="Calibri"/>
      <w:b/>
      <w:bCs/>
      <w:color w:themeColor="text1" w:val="000000"/>
      <w:szCs w:val="26"/>
    </w:rPr>
  </w:style>
  <w:style w:customStyle="1" w:styleId="Heading1Char" w:type="character">
    <w:name w:val="Heading 1 Char"/>
    <w:basedOn w:val="DefaultParagraphFont"/>
    <w:link w:val="Heading1"/>
    <w:uiPriority w:val="9"/>
    <w:rsid w:val="00ED5675"/>
    <w:rPr>
      <w:rFonts w:asciiTheme="majorHAnsi" w:cstheme="majorBidi" w:eastAsiaTheme="majorEastAsia" w:hAnsiTheme="majorHAnsi"/>
      <w:b/>
      <w:color w:val="0432FF"/>
      <w:sz w:val="28"/>
      <w:szCs w:val="32"/>
    </w:rPr>
  </w:style>
  <w:style w:styleId="LineNumber" w:type="character">
    <w:name w:val="line number"/>
    <w:basedOn w:val="DefaultParagraphFont"/>
    <w:uiPriority w:val="99"/>
    <w:semiHidden/>
    <w:unhideWhenUsed/>
    <w:rsid w:val="007C47D6"/>
  </w:style>
  <w:style w:styleId="Footer" w:type="paragraph">
    <w:name w:val="footer"/>
    <w:basedOn w:val="Normal"/>
    <w:link w:val="FooterChar"/>
    <w:uiPriority w:val="99"/>
    <w:unhideWhenUsed/>
    <w:rsid w:val="007C47D6"/>
    <w:pPr>
      <w:tabs>
        <w:tab w:pos="4680" w:val="center"/>
        <w:tab w:pos="9360" w:val="right"/>
      </w:tabs>
    </w:pPr>
  </w:style>
  <w:style w:customStyle="1" w:styleId="FooterChar" w:type="character">
    <w:name w:val="Footer Char"/>
    <w:basedOn w:val="DefaultParagraphFont"/>
    <w:link w:val="Footer"/>
    <w:uiPriority w:val="99"/>
    <w:rsid w:val="007C47D6"/>
  </w:style>
  <w:style w:styleId="PageNumber" w:type="character">
    <w:name w:val="page number"/>
    <w:basedOn w:val="DefaultParagraphFont"/>
    <w:uiPriority w:val="99"/>
    <w:semiHidden/>
    <w:unhideWhenUsed/>
    <w:rsid w:val="007C47D6"/>
  </w:style>
  <w:style w:styleId="Title" w:type="paragraph">
    <w:name w:val="Title"/>
    <w:basedOn w:val="Normal"/>
    <w:next w:val="Normal"/>
    <w:link w:val="TitleChar"/>
    <w:uiPriority w:val="10"/>
    <w:qFormat/>
    <w:rsid w:val="007C47D6"/>
    <w:pPr>
      <w:contextualSpacing/>
    </w:pPr>
    <w:rPr>
      <w:rFonts w:asciiTheme="majorHAnsi" w:cstheme="majorBidi" w:eastAsiaTheme="majorEastAsia" w:hAnsiTheme="majorHAnsi"/>
      <w:b/>
      <w:color w:themeColor="text1" w:val="000000"/>
      <w:spacing w:val="-10"/>
      <w:kern w:val="28"/>
      <w:sz w:val="36"/>
      <w:szCs w:val="56"/>
    </w:rPr>
  </w:style>
  <w:style w:customStyle="1" w:styleId="TitleChar" w:type="character">
    <w:name w:val="Title Char"/>
    <w:basedOn w:val="DefaultParagraphFont"/>
    <w:link w:val="Title"/>
    <w:uiPriority w:val="10"/>
    <w:rsid w:val="007C47D6"/>
    <w:rPr>
      <w:rFonts w:asciiTheme="majorHAnsi" w:cstheme="majorBidi" w:eastAsiaTheme="majorEastAsia" w:hAnsiTheme="majorHAnsi"/>
      <w:b/>
      <w:color w:themeColor="text1" w:val="000000"/>
      <w:spacing w:val="-10"/>
      <w:kern w:val="28"/>
      <w:sz w:val="36"/>
      <w:szCs w:val="56"/>
    </w:rPr>
  </w:style>
  <w:style w:styleId="TableGrid" w:type="table">
    <w:name w:val="Table Grid"/>
    <w:basedOn w:val="TableNormal"/>
    <w:uiPriority w:val="39"/>
    <w:rsid w:val="001157BC"/>
    <w:pPr>
      <w:spacing w:after="0" w:line="240" w:lineRule="auto"/>
    </w:pPr>
    <w:rPr>
      <w:sz w:val="16"/>
    </w:rPr>
    <w:tblPr>
      <w:tblBorders>
        <w:top w:color="auto" w:space="0" w:sz="4" w:val="single"/>
        <w:bottom w:color="auto" w:space="0" w:sz="4" w:val="single"/>
        <w:insideH w:color="auto" w:space="0" w:sz="4" w:val="single"/>
      </w:tblBorders>
    </w:tblPr>
  </w:style>
  <w:style w:customStyle="1" w:styleId="Style1" w:type="table">
    <w:name w:val="Style1"/>
    <w:basedOn w:val="TableNormal"/>
    <w:uiPriority w:val="99"/>
    <w:rsid w:val="00C7048D"/>
    <w:pPr>
      <w:spacing w:after="0" w:line="240" w:lineRule="auto"/>
    </w:pPr>
    <w:rPr>
      <w:sz w:val="18"/>
    </w:rPr>
    <w:tblPr>
      <w:tblBorders>
        <w:top w:color="auto" w:space="0" w:sz="4" w:val="single"/>
        <w:bottom w:color="auto" w:space="0" w:sz="4" w:val="single"/>
        <w:insideH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4" Target="media/rId44.png" /><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Words>
  <Characters>46</Characters>
  <Application>Microsoft Office Word</Application>
  <DocSecurity>0</DocSecurity>
  <Lines>1</Lines>
  <Paragraphs>1</Paragraphs>
  <ScaleCrop>false</ScaleCrop>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unlocked me an striking ye perceive.</dc:title>
  <dc:creator/>
  <cp:keywords/>
  <dcterms:created xsi:type="dcterms:W3CDTF">2023-04-28T10:29:28Z</dcterms:created>
  <dcterms:modified xsi:type="dcterms:W3CDTF">2023-04-28T10:29:28Z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/Users/tonisignes/Desktop/Drive UMH/1. PROJECTS/PR344_Nitra_Slovakia_Scientific_Articles/3. Posit Projects/Reseach_Articles_EuroDisBioFood/metadata/References.bib</vt:lpwstr>
  </property>
  <property fmtid="{D5CDD505-2E9C-101B-9397-08002B2CF9AE}" pid="3" name="csl">
    <vt:lpwstr>/Users/tonisignes/Desktop/Drive UMH/1. PROJECTS/PR344_Nitra_Slovakia_Scientific_Articles/3. Posit Projects/Reseach_Articles_EuroDisBioFood/metadata/environmental-research.csl</vt:lpwstr>
  </property>
  <property fmtid="{D5CDD505-2E9C-101B-9397-08002B2CF9AE}" pid="4" name="date">
    <vt:lpwstr>28 April, 2023</vt:lpwstr>
  </property>
  <property fmtid="{D5CDD505-2E9C-101B-9397-08002B2CF9AE}" pid="5" name="editor_options">
    <vt:lpwstr/>
  </property>
  <property fmtid="{D5CDD505-2E9C-101B-9397-08002B2CF9AE}" pid="6" name="output">
    <vt:lpwstr/>
  </property>
</Properties>
</file>