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, {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useRef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'react'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i w:val="1"/>
          <w:color w:val="5c6370"/>
          <w:rtl w:val="0"/>
        </w:rPr>
        <w:t xml:space="preserve">// preserves value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i w:val="1"/>
          <w:color w:val="5c6370"/>
          <w:rtl w:val="0"/>
        </w:rPr>
        <w:t xml:space="preserve">// DOES NOT trigger re-render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i w:val="1"/>
          <w:color w:val="5c6370"/>
          <w:rtl w:val="0"/>
        </w:rPr>
        <w:t xml:space="preserve">// target DOM nodes/elements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UseRefBasics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refContainer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useRef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handleSubmit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(e)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preventDefault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console.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(refContainer.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current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console.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(refContainer.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current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refContainer.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current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focus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'form'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'text'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={refContainer} /&gt;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'submit'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&gt;submit&lt;/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UseRefBasics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02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0075" cy="61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5438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657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