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맑은 고딕" w:hAnsi="맑은 고딕"/>
          <w:b/>
          <w:color w:val="1F497D"/>
          <w:sz w:val="44"/>
        </w:rPr>
        <w:t>수목전지작업 기초 안내서</w:t>
      </w:r>
    </w:p>
    <w:p>
      <w:pPr>
        <w:spacing w:after="360"/>
        <w:jc w:val="center"/>
      </w:pPr>
      <w:r>
        <w:rPr>
          <w:rFonts w:ascii="맑은 고딕" w:hAnsi="맑은 고딕"/>
          <w:color w:val="595959"/>
          <w:sz w:val="22"/>
        </w:rPr>
        <w:t>배전선로 근접수목 관리기준·전지요령 및 현장 안전관리 가이드라인</w:t>
      </w:r>
    </w:p>
    <w:tbl>
      <w:tblPr>
        <w:tblW w:type="auto" w:w="0"/>
        <w:jc w:val="center"/>
        <w:tblLayout w:type="fixed"/>
        <w:tblLook w:firstColumn="1" w:firstRow="1" w:lastColumn="0" w:lastRow="0" w:noHBand="0" w:noVBand="1" w:val="04A0"/>
      </w:tblPr>
      <w:tblGrid>
        <w:gridCol w:w="9360"/>
      </w:tblGrid>
      <w:tr>
        <w:tc>
          <w:tcPr>
            <w:tcW w:type="dxa" w:w="9360"/>
            <w:shd w:val="clear" w:color="auto" w:fill="F2F4F8"/>
            <w:tcMar>
              <w:top w:w="140" w:type="dxa"/>
              <w:bottom w:w="140" w:type="dxa"/>
              <w:left w:w="200" w:type="dxa"/>
              <w:right w:w="200" w:type="dxa"/>
            </w:tcMar>
            <w:tcBorders>
              <w:left w:val="single" w:sz="24" w:space="0" w:color="1F497D"/>
              <w:top w:val="nil"/>
              <w:right w:val="nil"/>
              <w:bottom w:val="nil"/>
            </w:tcBorders>
          </w:tcPr>
          <w:p>
            <w:pPr>
              <w:spacing w:before="0" w:after="80" w:line="276" w:lineRule="auto"/>
            </w:pPr>
            <w:r>
              <w:rPr>
                <w:rFonts w:ascii="맑은 고딕" w:hAnsi="맑은 고딕"/>
                <w:b/>
                <w:color w:val="1F497D"/>
                <w:sz w:val="21"/>
              </w:rPr>
              <w:t>📌 안내서 개요 및 목적</w:t>
              <w:br/>
            </w:r>
          </w:p>
          <w:p>
            <w:pPr>
              <w:spacing w:before="0" w:after="60" w:line="276" w:lineRule="auto"/>
            </w:pPr>
            <w:r>
              <w:rPr>
                <w:rFonts w:ascii="맑은 고딕" w:hAnsi="맑은 고딕"/>
                <w:color w:val="333333"/>
                <w:sz w:val="19"/>
              </w:rPr>
              <w:t>· 적용 범위: 배전선로 경과지 상의 가로수, 산림, 사유지 근접수목 전지 및 관리 업무</w:t>
            </w:r>
          </w:p>
          <w:p>
            <w:pPr>
              <w:spacing w:before="0" w:after="60" w:line="276" w:lineRule="auto"/>
            </w:pPr>
            <w:r>
              <w:rPr>
                <w:rFonts w:ascii="맑은 고딕" w:hAnsi="맑은 고딕"/>
                <w:color w:val="333333"/>
                <w:sz w:val="19"/>
              </w:rPr>
              <w:t>· 관련 기준: 한국전력공사 배전선로 근접수목 관리절차서(개정 4차), 특기시방서 및 특수계약조건</w:t>
            </w:r>
          </w:p>
          <w:p>
            <w:pPr>
              <w:spacing w:before="0" w:after="60" w:line="276" w:lineRule="auto"/>
            </w:pPr>
            <w:r>
              <w:rPr>
                <w:rFonts w:ascii="맑은 고딕" w:hAnsi="맑은 고딕"/>
                <w:color w:val="333333"/>
                <w:sz w:val="19"/>
              </w:rPr>
              <w:t>· 핵심 목표: 전력설비와 수목 간 안전 이격거리 확보를 통한 지락·단선·화재 예방 및 작업자 현장 안전 확보</w:t>
            </w:r>
          </w:p>
        </w:tc>
      </w:tr>
    </w:tbl>
    <w:p>
      <w:pPr>
        <w:spacing w:before="0" w:after="120"/>
      </w:pPr>
    </w:p>
    <w:p>
      <w:pPr>
        <w:pStyle w:val="Heading1"/>
        <w:spacing w:before="280" w:after="120"/>
      </w:pPr>
      <w:r>
        <w:rPr>
          <w:rFonts w:ascii="맑은 고딕" w:hAnsi="맑은 고딕"/>
          <w:b/>
          <w:color w:val="1F497D"/>
          <w:sz w:val="30"/>
        </w:rPr>
        <w:t>1. 수목전지의 정의 및 기본 원칙</w:t>
      </w:r>
    </w:p>
    <w:p>
      <w:pPr>
        <w:pStyle w:val="Heading2"/>
        <w:spacing w:before="160" w:after="80"/>
      </w:pPr>
      <w:r>
        <w:rPr>
          <w:rFonts w:ascii="맑은 고딕" w:hAnsi="맑은 고딕"/>
          <w:b/>
          <w:color w:val="365F91"/>
          <w:sz w:val="24"/>
        </w:rPr>
        <w:t>1.1 수목전지의 정의 및 시행 목적</w:t>
      </w:r>
    </w:p>
    <w:p>
      <w:pPr>
        <w:spacing w:line="276" w:lineRule="auto" w:after="120"/>
      </w:pPr>
      <w:r>
        <w:rPr>
          <w:rFonts w:ascii="맑은 고딕" w:hAnsi="맑은 고딕"/>
          <w:color w:val="333333"/>
          <w:sz w:val="20"/>
        </w:rPr>
        <w:t>수목전지(Tree Pruning)는 전기사업법 제68조(전기설비의 유지) 및 제87조(다른 자의 토지 등의 사용)에 의거하여, 배전선로 경과지 상에 식재된 수목이 전력선과 근접하거나 접촉함에 따라 발생할 수 있는 지락, 단선, 정전, 수목 화재 등의 전력사고를 예방하기 위해 가지치기 또는 벌목을 시행하여 안전 이격거리를 확보하는 관리 행위를 말합니다. 수목전지는 가공 배전선로의 최적 운영 환경을 조율하고 고품질의 전력을 안정적으로 공급하는 동시에 수목의 생리적 특성과 도시 미관을 유지하는 것을 핵심 목적으로 합니다.</w:t>
      </w:r>
    </w:p>
    <w:p>
      <w:pPr>
        <w:pStyle w:val="Heading2"/>
        <w:spacing w:before="160" w:after="80"/>
      </w:pPr>
      <w:r>
        <w:rPr>
          <w:rFonts w:ascii="맑은 고딕" w:hAnsi="맑은 고딕"/>
          <w:b/>
          <w:color w:val="365F91"/>
          <w:sz w:val="24"/>
        </w:rPr>
        <w:t>1.2 기본 원칙 및 법적 준고사항</w:t>
      </w:r>
    </w:p>
    <w:p>
      <w:pPr>
        <w:pStyle w:val="ListBullet"/>
        <w:spacing w:after="60" w:line="276" w:lineRule="auto"/>
      </w:pPr>
      <w:r>
        <w:rPr>
          <w:rFonts w:ascii="맑은 고딕" w:hAnsi="맑은 고딕"/>
          <w:b/>
          <w:color w:val="1F497D"/>
          <w:sz w:val="19"/>
        </w:rPr>
        <w:t xml:space="preserve">선로 안전거리 최우선 확보: </w:t>
      </w:r>
      <w:r>
        <w:rPr>
          <w:rFonts w:ascii="맑은 고딕" w:hAnsi="맑은 고딕"/>
          <w:color w:val="333333"/>
          <w:sz w:val="19"/>
        </w:rPr>
        <w:t>배전선로와 수목 간 법정이격거리를 확보하되, 수목의 생장 속도를 감안하여 차기 전지 주기까지 안전상태가 유지되도록 시행하여야 합니다.</w:t>
      </w:r>
    </w:p>
    <w:p>
      <w:pPr>
        <w:pStyle w:val="ListBullet"/>
        <w:spacing w:after="60" w:line="276" w:lineRule="auto"/>
      </w:pPr>
      <w:r>
        <w:rPr>
          <w:rFonts w:ascii="맑은 고딕" w:hAnsi="맑은 고딕"/>
          <w:b/>
          <w:color w:val="1F497D"/>
          <w:sz w:val="19"/>
        </w:rPr>
        <w:t xml:space="preserve">수목 훼손 최소화 및 수형 보존: </w:t>
      </w:r>
      <w:r>
        <w:rPr>
          <w:rFonts w:ascii="맑은 고딕" w:hAnsi="맑은 고딕"/>
          <w:color w:val="333333"/>
          <w:sz w:val="19"/>
        </w:rPr>
        <w:t>수목 고유의 수형을 최대한 파존하고 주간(원줄기)의 무단 절단을 금지하며, 수목의 자가 치유를 돕는 자르기 방법을 준수합니다.</w:t>
      </w:r>
    </w:p>
    <w:p>
      <w:pPr>
        <w:pStyle w:val="ListBullet"/>
        <w:spacing w:after="60" w:line="276" w:lineRule="auto"/>
      </w:pPr>
      <w:r>
        <w:rPr>
          <w:rFonts w:ascii="맑은 고딕" w:hAnsi="맑은 고딕"/>
          <w:b/>
          <w:color w:val="1F497D"/>
          <w:sz w:val="19"/>
        </w:rPr>
        <w:t xml:space="preserve">사전 대관 협의 및 동의 수취: </w:t>
      </w:r>
      <w:r>
        <w:rPr>
          <w:rFonts w:ascii="맑은 고딕" w:hAnsi="맑은 고딕"/>
          <w:color w:val="333333"/>
          <w:sz w:val="19"/>
        </w:rPr>
        <w:t>지자체 관리 가로수 및 사유지 수목은 작업 시행 1개월 전 관할 가로수 관리청과 대관허가 및 승인을 득하거나 소유자 협의 및 확인서를 수취한 후 시행합니다.</w:t>
      </w:r>
    </w:p>
    <w:p>
      <w:pPr>
        <w:pStyle w:val="ListBullet"/>
        <w:spacing w:after="60" w:line="276" w:lineRule="auto"/>
      </w:pPr>
      <w:r>
        <w:rPr>
          <w:rFonts w:ascii="맑은 고딕" w:hAnsi="맑은 고딕"/>
          <w:b/>
          <w:color w:val="1F497D"/>
          <w:sz w:val="19"/>
        </w:rPr>
        <w:t xml:space="preserve">환경 관리 및 부산물 당일 수거: </w:t>
      </w:r>
      <w:r>
        <w:rPr>
          <w:rFonts w:ascii="맑은 고딕" w:hAnsi="맑은 고딕"/>
          <w:color w:val="333333"/>
          <w:sz w:val="19"/>
        </w:rPr>
        <w:t>전지 작업으로 발생한 폐가지 및 부산물은 폐기물관리법 제18조에 따라 당일 수거하여 폐기물 처리업 허가자 등에게 위탁 처리합니다.</w:t>
      </w:r>
    </w:p>
    <w:p>
      <w:pPr>
        <w:spacing w:after="80"/>
      </w:pPr>
    </w:p>
    <w:p>
      <w:pPr>
        <w:pStyle w:val="Heading1"/>
        <w:spacing w:before="280" w:after="120"/>
      </w:pPr>
      <w:r>
        <w:rPr>
          <w:rFonts w:ascii="맑은 고딕" w:hAnsi="맑은 고딕"/>
          <w:b/>
          <w:color w:val="1F497D"/>
          <w:sz w:val="30"/>
        </w:rPr>
        <w:t>2. 수목전지의 유형 및 세부 정량 기준</w:t>
      </w:r>
    </w:p>
    <w:p>
      <w:pPr>
        <w:spacing w:line="276" w:lineRule="auto" w:after="120"/>
      </w:pPr>
      <w:r>
        <w:rPr>
          <w:rFonts w:ascii="맑은 고딕" w:hAnsi="맑은 고딕"/>
          <w:color w:val="333333"/>
          <w:sz w:val="20"/>
        </w:rPr>
        <w:t>수목전지는 제거하는 가지의 두께, 지엽 제거 비율, 목적 및 현장 여건에 따라 약전지, 강전지, 순치기, 벌목으로 구분됩니다. 산림청 고시(도시숲·가로수 조성 관리 기준), 국가표준품셈, 한전 기술지침의 구별 기준은 다음과 같습니다.</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전지 유형</w:t>
            </w:r>
          </w:p>
        </w:tc>
        <w:tc>
          <w:tcPr>
            <w:tcW w:type="dxa" w:w="187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제거 비율 및 직경</w:t>
            </w:r>
          </w:p>
        </w:tc>
        <w:tc>
          <w:tcPr>
            <w:tcW w:type="dxa" w:w="187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대상 가지 및 특성</w:t>
            </w:r>
          </w:p>
        </w:tc>
        <w:tc>
          <w:tcPr>
            <w:tcW w:type="dxa" w:w="2160"/>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주요 적용 구간</w:t>
            </w:r>
          </w:p>
        </w:tc>
        <w:tc>
          <w:tcPr>
            <w:tcW w:type="dxa" w:w="187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수행 주체</w:t>
            </w:r>
          </w:p>
        </w:tc>
      </w:tr>
      <w:tr>
        <w:tc>
          <w:tcPr>
            <w:tcW w:type="dxa" w:w="1584"/>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약전지</w:t>
              <w:br/>
              <w:t>(Light Pruning)</w:t>
            </w:r>
          </w:p>
        </w:tc>
        <w:tc>
          <w:tcPr>
            <w:tcW w:type="dxa" w:w="187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지엽 질량 10~20% 미만</w:t>
              <w:br/>
              <w:t>· 직경 3cm 미만 (가급적 2cm 내외 잔가지)</w:t>
            </w:r>
          </w:p>
        </w:tc>
        <w:tc>
          <w:tcPr>
            <w:tcW w:type="dxa" w:w="187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도장지, 맹아지, 교차지, 고사지 위주</w:t>
              <w:br/>
              <w:t>· 주간·주지 보존 (수형 파괴 방지)</w:t>
            </w:r>
          </w:p>
        </w:tc>
        <w:tc>
          <w:tcPr>
            <w:tcW w:type="dxa" w:w="2160"/>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도심지 가로수, 주택가 및 수형 보존 필요 구간</w:t>
            </w:r>
          </w:p>
        </w:tc>
        <w:tc>
          <w:tcPr>
            <w:tcW w:type="dxa" w:w="187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전기/조경 전문회사 또는 지자체 위탁</w:t>
            </w:r>
          </w:p>
        </w:tc>
      </w:tr>
      <w:tr>
        <w:tc>
          <w:tcPr>
            <w:tcW w:type="dxa" w:w="1584"/>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강전지</w:t>
              <w:br/>
              <w:t>(Heavy Pruning)</w:t>
            </w:r>
          </w:p>
        </w:tc>
        <w:tc>
          <w:tcPr>
            <w:tcW w:type="dxa" w:w="187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지엽 질량 30% 이상</w:t>
              <w:br/>
              <w:t>· 직경 10cm 이상 굵은 가지 또는 주지/원줄기 절단</w:t>
            </w:r>
          </w:p>
        </w:tc>
        <w:tc>
          <w:tcPr>
            <w:tcW w:type="dxa" w:w="187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핵심 수관 대형 주지 제거 및 두절(頭切) 작업</w:t>
              <w:br/>
              <w:t>· 절단면 상처보호제(정균제) 도포 필수</w:t>
            </w:r>
          </w:p>
        </w:tc>
        <w:tc>
          <w:tcPr>
            <w:tcW w:type="dxa" w:w="2160"/>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산간지역, 격지·오지, 고압선 직접 저촉 긴급 구간</w:t>
            </w:r>
          </w:p>
        </w:tc>
        <w:tc>
          <w:tcPr>
            <w:tcW w:type="dxa" w:w="187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전기/조경 전문회사 또는 지자체 위탁</w:t>
            </w:r>
          </w:p>
        </w:tc>
      </w:tr>
      <w:tr>
        <w:tc>
          <w:tcPr>
            <w:tcW w:type="dxa" w:w="1584"/>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순치기</w:t>
              <w:br/>
              <w:t>(Tip Pruning)</w:t>
            </w:r>
          </w:p>
        </w:tc>
        <w:tc>
          <w:tcPr>
            <w:tcW w:type="dxa" w:w="187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수형·흉고직경 관계없이 상부/측부 잔가지만 절단</w:t>
            </w:r>
          </w:p>
        </w:tc>
        <w:tc>
          <w:tcPr>
            <w:tcW w:type="dxa" w:w="187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여름철 웃자란 가지가 전력선 근접·접촉 우려 시 긴급 제거</w:t>
            </w:r>
          </w:p>
        </w:tc>
        <w:tc>
          <w:tcPr>
            <w:tcW w:type="dxa" w:w="2160"/>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긴급 정전 예방 필요 개소, 흉고직경 측정 곤란 개소</w:t>
            </w:r>
          </w:p>
        </w:tc>
        <w:tc>
          <w:tcPr>
            <w:tcW w:type="dxa" w:w="187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한전 직영 시행 원칙</w:t>
            </w:r>
          </w:p>
        </w:tc>
      </w:tr>
      <w:tr>
        <w:tc>
          <w:tcPr>
            <w:tcW w:type="dxa" w:w="1584"/>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벌목</w:t>
              <w:br/>
              <w:t>(Felling)</w:t>
            </w:r>
          </w:p>
        </w:tc>
        <w:tc>
          <w:tcPr>
            <w:tcW w:type="dxa" w:w="187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수목 밑둥 전체 절단</w:t>
            </w:r>
          </w:p>
        </w:tc>
        <w:tc>
          <w:tcPr>
            <w:tcW w:type="dxa" w:w="187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선하지 대형수목 접촉, 쓰러짐(도괴), 설해목 등 안전사고 우려목</w:t>
            </w:r>
          </w:p>
        </w:tc>
        <w:tc>
          <w:tcPr>
            <w:tcW w:type="dxa" w:w="2160"/>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전력선 직접 침범 대형 위험목 및 도괴 위험 구간</w:t>
            </w:r>
          </w:p>
        </w:tc>
        <w:tc>
          <w:tcPr>
            <w:tcW w:type="dxa" w:w="187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지자체 위해목 제거 요청 또는 벌목전문업체 위탁 (직영 금지)</w:t>
            </w:r>
          </w:p>
        </w:tc>
      </w:tr>
    </w:tbl>
    <w:p>
      <w:pPr>
        <w:spacing w:after="120"/>
      </w:pPr>
    </w:p>
    <w:p>
      <w:pPr>
        <w:pStyle w:val="Heading2"/>
        <w:spacing w:before="200" w:after="80"/>
      </w:pPr>
      <w:r>
        <w:rPr>
          <w:rFonts w:ascii="맑은 고딕" w:hAnsi="맑은 고딕"/>
          <w:b/>
          <w:color w:val="365F91"/>
          <w:sz w:val="24"/>
        </w:rPr>
        <w:t>2.1 절단 대상 가지의 생리적 종류</w:t>
      </w:r>
    </w:p>
    <w:p>
      <w:pPr>
        <w:spacing w:line="276" w:lineRule="auto" w:after="80"/>
      </w:pPr>
      <w:r>
        <w:rPr>
          <w:rFonts w:ascii="맑은 고딕" w:hAnsi="맑은 고딕"/>
          <w:sz w:val="20"/>
        </w:rPr>
        <w:t>약전지 및 수형 유지 작업 시 정리하여야 할 주요 불필요 가지의 종류는 다음과 같습니다:</w:t>
      </w:r>
    </w:p>
    <w:p>
      <w:pPr>
        <w:pStyle w:val="ListBullet"/>
        <w:spacing w:after="40" w:line="276" w:lineRule="auto"/>
      </w:pPr>
      <w:r>
        <w:rPr>
          <w:rFonts w:ascii="맑은 고딕" w:hAnsi="맑은 고딕"/>
          <w:b/>
          <w:color w:val="1F497D"/>
          <w:sz w:val="19"/>
        </w:rPr>
        <w:t xml:space="preserve">도장지(徒長枝): </w:t>
      </w:r>
      <w:r>
        <w:rPr>
          <w:rFonts w:ascii="맑은 고딕" w:hAnsi="맑은 고딕"/>
          <w:color w:val="333333"/>
          <w:sz w:val="19"/>
        </w:rPr>
        <w:t>영양 과다 또는 스트레스로 인해 위로만 수직으로 급성장하여 전선 저촉 위험이 높은 약한 가지.</w:t>
      </w:r>
    </w:p>
    <w:p>
      <w:pPr>
        <w:pStyle w:val="ListBullet"/>
        <w:spacing w:after="40" w:line="276" w:lineRule="auto"/>
      </w:pPr>
      <w:r>
        <w:rPr>
          <w:rFonts w:ascii="맑은 고딕" w:hAnsi="맑은 고딕"/>
          <w:b/>
          <w:color w:val="1F497D"/>
          <w:sz w:val="19"/>
        </w:rPr>
        <w:t xml:space="preserve">맹아지(萌芽枝): </w:t>
      </w:r>
      <w:r>
        <w:rPr>
          <w:rFonts w:ascii="맑은 고딕" w:hAnsi="맑은 고딕"/>
          <w:color w:val="333333"/>
          <w:sz w:val="19"/>
        </w:rPr>
        <w:t>줄기 밑동이나 이전 절단면 주변에서 부정아로부터 무성하게 뿜어져 나온 곁가지.</w:t>
      </w:r>
    </w:p>
    <w:p>
      <w:pPr>
        <w:pStyle w:val="ListBullet"/>
        <w:spacing w:after="40" w:line="276" w:lineRule="auto"/>
      </w:pPr>
      <w:r>
        <w:rPr>
          <w:rFonts w:ascii="맑은 고딕" w:hAnsi="맑은 고딕"/>
          <w:b/>
          <w:color w:val="1F497D"/>
          <w:sz w:val="19"/>
        </w:rPr>
        <w:t xml:space="preserve">교차지·역지: </w:t>
      </w:r>
      <w:r>
        <w:rPr>
          <w:rFonts w:ascii="맑은 고딕" w:hAnsi="맑은 고딕"/>
          <w:color w:val="333333"/>
          <w:sz w:val="19"/>
        </w:rPr>
        <w:t>다른 가지와 얽히거나 수목의 정상적인 성장 방향과 반대로 자라 미관 및 생육을 해치는 가지.</w:t>
      </w:r>
    </w:p>
    <w:p>
      <w:pPr>
        <w:pStyle w:val="ListBullet"/>
        <w:spacing w:after="40" w:line="276" w:lineRule="auto"/>
      </w:pPr>
      <w:r>
        <w:rPr>
          <w:rFonts w:ascii="맑은 고딕" w:hAnsi="맑은 고딕"/>
          <w:b/>
          <w:color w:val="1F497D"/>
          <w:sz w:val="19"/>
        </w:rPr>
        <w:t xml:space="preserve">고사지·병해충지: </w:t>
      </w:r>
      <w:r>
        <w:rPr>
          <w:rFonts w:ascii="맑은 고딕" w:hAnsi="맑은 고딕"/>
          <w:color w:val="333333"/>
          <w:sz w:val="19"/>
        </w:rPr>
        <w:t>이미 죽었거나 병해충에 감염되어 낙하 및 2차 피해 우려가 있는 가지.</w:t>
      </w:r>
    </w:p>
    <w:p>
      <w:pPr>
        <w:pStyle w:val="Heading2"/>
        <w:spacing w:before="200" w:after="80"/>
      </w:pPr>
      <w:r>
        <w:rPr>
          <w:rFonts w:ascii="맑은 고딕" w:hAnsi="맑은 고딕"/>
          <w:b/>
          <w:color w:val="365F91"/>
          <w:sz w:val="24"/>
        </w:rPr>
        <w:t>2.2 주요 가로수 측정 용어</w:t>
      </w:r>
    </w:p>
    <w:p>
      <w:pPr>
        <w:pStyle w:val="ListBullet"/>
        <w:spacing w:after="40" w:line="276" w:lineRule="auto"/>
      </w:pPr>
      <w:r>
        <w:rPr>
          <w:rFonts w:ascii="맑은 고딕" w:hAnsi="맑은 고딕"/>
          <w:b/>
          <w:color w:val="1F497D"/>
          <w:sz w:val="19"/>
        </w:rPr>
        <w:t xml:space="preserve">수고(樹高): </w:t>
      </w:r>
      <w:r>
        <w:rPr>
          <w:rFonts w:ascii="맑은 고딕" w:hAnsi="맑은 고딕"/>
          <w:color w:val="333333"/>
          <w:sz w:val="19"/>
        </w:rPr>
        <w:t>지표면에서 수관 정상까지의 수직거리 (웃자란 가지 제외).</w:t>
      </w:r>
    </w:p>
    <w:p>
      <w:pPr>
        <w:pStyle w:val="ListBullet"/>
        <w:spacing w:after="40" w:line="276" w:lineRule="auto"/>
      </w:pPr>
      <w:r>
        <w:rPr>
          <w:rFonts w:ascii="맑은 고딕" w:hAnsi="맑은 고딕"/>
          <w:b/>
          <w:color w:val="1F497D"/>
          <w:sz w:val="19"/>
        </w:rPr>
        <w:t xml:space="preserve">지하고(枝下高): </w:t>
      </w:r>
      <w:r>
        <w:rPr>
          <w:rFonts w:ascii="맑은 고딕" w:hAnsi="맑은 고딕"/>
          <w:color w:val="333333"/>
          <w:sz w:val="19"/>
        </w:rPr>
        <w:t>지표면에서 최하단 역지(力枝) 끝까지의 수직거리.</w:t>
      </w:r>
    </w:p>
    <w:p>
      <w:pPr>
        <w:pStyle w:val="ListBullet"/>
        <w:spacing w:after="40" w:line="276" w:lineRule="auto"/>
      </w:pPr>
      <w:r>
        <w:rPr>
          <w:rFonts w:ascii="맑은 고딕" w:hAnsi="맑은 고딕"/>
          <w:b/>
          <w:color w:val="1F497D"/>
          <w:sz w:val="19"/>
        </w:rPr>
        <w:t xml:space="preserve">흉고직경(胸高直徑, DBH): </w:t>
      </w:r>
      <w:r>
        <w:rPr>
          <w:rFonts w:ascii="맑은 고딕" w:hAnsi="맑은 고딕"/>
          <w:color w:val="333333"/>
          <w:sz w:val="19"/>
        </w:rPr>
        <w:t>지표면에서 1.2m 지점의 줄기 직경. 현장 조사 및 도급(설계) 계수 산정의 핵심 지표.</w:t>
      </w:r>
    </w:p>
    <w:p>
      <w:pPr>
        <w:pStyle w:val="ListBullet"/>
        <w:spacing w:after="40" w:line="276" w:lineRule="auto"/>
      </w:pPr>
      <w:r>
        <w:rPr>
          <w:rFonts w:ascii="맑은 고딕" w:hAnsi="맑은 고딕"/>
          <w:b/>
          <w:color w:val="1F497D"/>
          <w:sz w:val="19"/>
        </w:rPr>
        <w:t xml:space="preserve">근원직경(根元直徑): </w:t>
      </w:r>
      <w:r>
        <w:rPr>
          <w:rFonts w:ascii="맑은 고딕" w:hAnsi="맑은 고딕"/>
          <w:color w:val="333333"/>
          <w:sz w:val="19"/>
        </w:rPr>
        <w:t>관목이나 흉고 이하에서 줄기가 분기하는 수목의 지표면 줄기 굵기.</w:t>
      </w:r>
    </w:p>
    <w:p>
      <w:pPr>
        <w:pStyle w:val="Heading1"/>
        <w:spacing w:before="280" w:after="120"/>
      </w:pPr>
      <w:r>
        <w:rPr>
          <w:rFonts w:ascii="맑은 고딕" w:hAnsi="맑은 고딕"/>
          <w:b/>
          <w:color w:val="1F497D"/>
          <w:sz w:val="30"/>
        </w:rPr>
        <w:t>3. 배전선로 이격거리 및 안전거리 기준</w:t>
      </w:r>
    </w:p>
    <w:p>
      <w:pPr>
        <w:spacing w:line="276" w:lineRule="auto" w:after="120"/>
      </w:pPr>
      <w:r>
        <w:rPr>
          <w:rFonts w:ascii="맑은 고딕" w:hAnsi="맑은 고딕"/>
          <w:sz w:val="20"/>
        </w:rPr>
        <w:t>배전선로와 수목 간 이격거리는 전선 종류 및 전압 수준에 따라 엄격히 규정되어 있으며, 작업 시 전력선 수목 간 최소 확보 이격거리 및 작업자/장비의 접근한계거리를 준수하여야 합니다.</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전선 종류 및 전압</w:t>
            </w:r>
          </w:p>
        </w:tc>
        <w:tc>
          <w:tcPr>
            <w:tcW w:type="dxa" w:w="331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수목 간 최소 이격거리</w:t>
            </w:r>
          </w:p>
        </w:tc>
        <w:tc>
          <w:tcPr>
            <w:tcW w:type="dxa" w:w="2880"/>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작업 및 방호 요건</w:t>
            </w:r>
          </w:p>
        </w:tc>
      </w:tr>
      <w:tr>
        <w:tc>
          <w:tcPr>
            <w:tcW w:type="dxa" w:w="3168"/>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특고압 가공전선</w:t>
              <w:br/>
              <w:t>(22.9kV 나전선)</w:t>
            </w:r>
          </w:p>
        </w:tc>
        <w:tc>
          <w:tcPr>
            <w:tcW w:type="dxa" w:w="331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2.0m 이상 확보</w:t>
              <w:br/>
              <w:t>(생장 왕성 수종: 1.8~2.0m 이상, 최대 3.0m)</w:t>
            </w:r>
          </w:p>
        </w:tc>
        <w:tc>
          <w:tcPr>
            <w:tcW w:type="dxa" w:w="2880"/>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활선접근거리(90cm) 유지 필수.</w:t>
              <w:br/>
              <w:t>부득이 90cm 이내 접근 시 충전부 방호관 취부</w:t>
            </w:r>
          </w:p>
        </w:tc>
      </w:tr>
      <w:tr>
        <w:tc>
          <w:tcPr>
            <w:tcW w:type="dxa" w:w="3168"/>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특고압 절연전선</w:t>
              <w:br/>
              <w:t>(22.9kV OC 절연전선)</w:t>
            </w:r>
          </w:p>
        </w:tc>
        <w:tc>
          <w:tcPr>
            <w:tcW w:type="dxa" w:w="331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최소 0.5m ~ 1.0m 이상 이격</w:t>
              <w:br/>
              <w:t>(직접 접촉 및 풍압 저촉 방지)</w:t>
            </w:r>
          </w:p>
        </w:tc>
        <w:tc>
          <w:tcPr>
            <w:tcW w:type="dxa" w:w="2880"/>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직접 마찰 및 피복 손상 방지.</w:t>
              <w:br/>
              <w:t>절연성능 톱 및 연장핫스틱 사용</w:t>
            </w:r>
          </w:p>
        </w:tc>
      </w:tr>
      <w:tr>
        <w:tc>
          <w:tcPr>
            <w:tcW w:type="dxa" w:w="3168"/>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저압 가공전선 및 인입선</w:t>
            </w:r>
          </w:p>
        </w:tc>
        <w:tc>
          <w:tcPr>
            <w:tcW w:type="dxa" w:w="331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최소 0.3m 이상 이격</w:t>
              <w:br/>
              <w:t>(직접 마찰 및 피복 손상 예방)</w:t>
            </w:r>
          </w:p>
        </w:tc>
        <w:tc>
          <w:tcPr>
            <w:tcW w:type="dxa" w:w="2880"/>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저압보수차 버킷 이용 작업 가능.</w:t>
              <w:br/>
              <w:t>절연 장구 착용 후 잔가지 제거</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2F4F8"/>
            <w:tcMar>
              <w:top w:w="140" w:type="dxa"/>
              <w:bottom w:w="140" w:type="dxa"/>
              <w:left w:w="200" w:type="dxa"/>
              <w:right w:w="200" w:type="dxa"/>
            </w:tcMar>
            <w:tcBorders>
              <w:left w:val="single" w:sz="24" w:space="0" w:color="1F497D"/>
              <w:top w:val="nil"/>
              <w:right w:val="nil"/>
              <w:bottom w:val="nil"/>
            </w:tcBorders>
          </w:tcPr>
          <w:p>
            <w:pPr>
              <w:spacing w:before="0" w:after="80" w:line="276" w:lineRule="auto"/>
            </w:pPr>
            <w:r>
              <w:rPr>
                <w:rFonts w:ascii="맑은 고딕" w:hAnsi="맑은 고딕"/>
                <w:b/>
                <w:color w:val="1F497D"/>
                <w:sz w:val="21"/>
              </w:rPr>
              <w:t>📌 충전전로 접근 한계거리 및 방호 원칙</w:t>
              <w:br/>
            </w:r>
          </w:p>
          <w:p>
            <w:pPr>
              <w:spacing w:before="0" w:after="60" w:line="276" w:lineRule="auto"/>
            </w:pPr>
            <w:r>
              <w:rPr>
                <w:rFonts w:ascii="맑은 고딕" w:hAnsi="맑은 고딕"/>
                <w:color w:val="333333"/>
                <w:sz w:val="19"/>
              </w:rPr>
              <w:t>· 22.9kV 충전전로에 대한 안전 접근한계거리: 90cm</w:t>
            </w:r>
          </w:p>
          <w:p>
            <w:pPr>
              <w:spacing w:before="0" w:after="60" w:line="276" w:lineRule="auto"/>
            </w:pPr>
            <w:r>
              <w:rPr>
                <w:rFonts w:ascii="맑은 고딕" w:hAnsi="맑은 고딕"/>
                <w:color w:val="333333"/>
                <w:sz w:val="19"/>
              </w:rPr>
              <w:t>· 표준 시공: 작업자 신체 및 장비가 충전부로부터 90cm 이상 이격을 유지한 상태에서 연장형 절연톱(1.5m 이상)으로 작업</w:t>
            </w:r>
          </w:p>
          <w:p>
            <w:pPr>
              <w:spacing w:before="0" w:after="60" w:line="276" w:lineRule="auto"/>
            </w:pPr>
            <w:r>
              <w:rPr>
                <w:rFonts w:ascii="맑은 고딕" w:hAnsi="맑은 고딕"/>
                <w:color w:val="333333"/>
                <w:sz w:val="19"/>
              </w:rPr>
              <w:t>· 부득이한 시공: 현장 여건상 90cm 이내 접근이 불가피한 경우, 무정전(활선)전공이 특고압 충전부 방호(방호관 설치)를 완료한 후 지상감시자 입회 하에 작업 수행</w:t>
            </w:r>
          </w:p>
        </w:tc>
      </w:tr>
    </w:tbl>
    <w:p>
      <w:pPr>
        <w:spacing w:before="0" w:after="120"/>
      </w:pPr>
    </w:p>
    <w:p>
      <w:pPr>
        <w:pStyle w:val="Heading1"/>
        <w:spacing w:before="280" w:after="120"/>
      </w:pPr>
      <w:r>
        <w:rPr>
          <w:rFonts w:ascii="맑은 고딕" w:hAnsi="맑은 고딕"/>
          <w:b/>
          <w:color w:val="1F497D"/>
          <w:sz w:val="30"/>
        </w:rPr>
        <w:t>4. 공사 표준 시행 절차 및 필수 구비 요건</w:t>
      </w:r>
    </w:p>
    <w:p>
      <w:pPr>
        <w:pStyle w:val="Heading2"/>
        <w:spacing w:before="160" w:after="80"/>
      </w:pPr>
      <w:r>
        <w:rPr>
          <w:rFonts w:ascii="맑은 고딕" w:hAnsi="맑은 고딕"/>
          <w:b/>
          <w:color w:val="365F91"/>
          <w:sz w:val="24"/>
        </w:rPr>
        <w:t>4.1 6단계 표준 공사 시행 절차</w:t>
      </w:r>
    </w:p>
    <w:p>
      <w:pPr>
        <w:spacing w:after="60" w:line="276" w:lineRule="auto"/>
        <w:ind w:left="288"/>
      </w:pPr>
      <w:r>
        <w:rPr>
          <w:rFonts w:ascii="맑은 고딕" w:hAnsi="맑은 고딕"/>
          <w:b/>
          <w:color w:val="1F497D"/>
          <w:sz w:val="19"/>
        </w:rPr>
        <w:t xml:space="preserve">① 작업계획 통보 (D-3): </w:t>
      </w:r>
      <w:r>
        <w:rPr>
          <w:rFonts w:ascii="맑은 고딕" w:hAnsi="맑은 고딕"/>
          <w:color w:val="333333"/>
          <w:sz w:val="19"/>
        </w:rPr>
        <w:t>시공관리책임자는 작업 시행 3일 전까지 작업계획서를 작성하여 담당자(감독자)에게 통보.</w:t>
      </w:r>
    </w:p>
    <w:p>
      <w:pPr>
        <w:spacing w:after="60" w:line="276" w:lineRule="auto"/>
        <w:ind w:left="288"/>
      </w:pPr>
      <w:r>
        <w:rPr>
          <w:rFonts w:ascii="맑은 고딕" w:hAnsi="맑은 고딕"/>
          <w:b/>
          <w:color w:val="1F497D"/>
          <w:sz w:val="19"/>
        </w:rPr>
        <w:t xml:space="preserve">② 배전센터 기기조작 시스템 입력 (D-1): </w:t>
      </w:r>
      <w:r>
        <w:rPr>
          <w:rFonts w:ascii="맑은 고딕" w:hAnsi="맑은 고딕"/>
          <w:color w:val="333333"/>
          <w:sz w:val="19"/>
        </w:rPr>
        <w:t>담당자가 배전센터 시스템에 작업 대상 선로 및 기기조작 등록.</w:t>
      </w:r>
    </w:p>
    <w:p>
      <w:pPr>
        <w:spacing w:after="60" w:line="276" w:lineRule="auto"/>
        <w:ind w:left="288"/>
      </w:pPr>
      <w:r>
        <w:rPr>
          <w:rFonts w:ascii="맑은 고딕" w:hAnsi="맑은 고딕"/>
          <w:b/>
          <w:color w:val="1F497D"/>
          <w:sz w:val="19"/>
        </w:rPr>
        <w:t xml:space="preserve">③ 작업 대상선로 통보 (작업 직전): </w:t>
      </w:r>
      <w:r>
        <w:rPr>
          <w:rFonts w:ascii="맑은 고딕" w:hAnsi="맑은 고딕"/>
          <w:color w:val="333333"/>
          <w:sz w:val="19"/>
        </w:rPr>
        <w:t>작업책임자가 배전센터로 재폐로 정지(분리) 요청 및 통보.</w:t>
      </w:r>
    </w:p>
    <w:p>
      <w:pPr>
        <w:spacing w:after="60" w:line="276" w:lineRule="auto"/>
        <w:ind w:left="288"/>
      </w:pPr>
      <w:r>
        <w:rPr>
          <w:rFonts w:ascii="맑은 고딕" w:hAnsi="맑은 고딕"/>
          <w:b/>
          <w:color w:val="1F497D"/>
          <w:sz w:val="19"/>
        </w:rPr>
        <w:t xml:space="preserve">④ 작업 전 안전회의(TBM) &amp; 체크리스트 작성 (작업 직전): </w:t>
      </w:r>
      <w:r>
        <w:rPr>
          <w:rFonts w:ascii="맑은 고딕" w:hAnsi="맑은 고딕"/>
          <w:color w:val="333333"/>
          <w:sz w:val="19"/>
        </w:rPr>
        <w:t>작업자 전원 참석하여 위험성 평가, PMIS 신체·정신 상태 점검 및 안전교육 시행.</w:t>
      </w:r>
    </w:p>
    <w:p>
      <w:pPr>
        <w:spacing w:after="60" w:line="276" w:lineRule="auto"/>
        <w:ind w:left="288"/>
      </w:pPr>
      <w:r>
        <w:rPr>
          <w:rFonts w:ascii="맑은 고딕" w:hAnsi="맑은 고딕"/>
          <w:b/>
          <w:color w:val="1F497D"/>
          <w:sz w:val="19"/>
        </w:rPr>
        <w:t xml:space="preserve">⑤ 원격 모니터링 사진 전송 (작업 직전): </w:t>
      </w:r>
      <w:r>
        <w:rPr>
          <w:rFonts w:ascii="맑은 고딕" w:hAnsi="맑은 고딕"/>
          <w:color w:val="333333"/>
          <w:sz w:val="19"/>
        </w:rPr>
        <w:t>작업인원 착용 상태, TBM 회의록, 위험성 체크리스트, 교통안전 표지판/신호수 사진 전송.</w:t>
      </w:r>
    </w:p>
    <w:p>
      <w:pPr>
        <w:spacing w:after="60" w:line="276" w:lineRule="auto"/>
        <w:ind w:left="288"/>
      </w:pPr>
      <w:r>
        <w:rPr>
          <w:rFonts w:ascii="맑은 고딕" w:hAnsi="맑은 고딕"/>
          <w:b/>
          <w:color w:val="1F497D"/>
          <w:sz w:val="19"/>
        </w:rPr>
        <w:t xml:space="preserve">⑥ 수목전지 작업 시행 및 뒷정리: </w:t>
      </w:r>
      <w:r>
        <w:rPr>
          <w:rFonts w:ascii="맑은 고딕" w:hAnsi="맑은 고딕"/>
          <w:color w:val="333333"/>
          <w:sz w:val="19"/>
        </w:rPr>
        <w:t>지상감시자 입회 하에 전지 시행, 폐기물 당일 수거 및 배전센터에 작업 완료 통보.</w:t>
      </w:r>
    </w:p>
    <w:p>
      <w:pPr>
        <w:pStyle w:val="Heading2"/>
        <w:spacing w:before="200" w:after="80"/>
      </w:pPr>
      <w:r>
        <w:rPr>
          <w:rFonts w:ascii="맑은 고딕" w:hAnsi="맑은 고딕"/>
          <w:b/>
          <w:color w:val="365F91"/>
          <w:sz w:val="24"/>
        </w:rPr>
        <w:t>4.2 작업조별 필수 장비·공구 및 안전장구</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구분</w:t>
            </w:r>
          </w:p>
        </w:tc>
        <w:tc>
          <w:tcPr>
            <w:tcW w:type="dxa" w:w="403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필수 사양 및 모델</w:t>
            </w:r>
          </w:p>
        </w:tc>
        <w:tc>
          <w:tcPr>
            <w:tcW w:type="dxa" w:w="3168"/>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성능 검사 및 관리 기준</w:t>
            </w:r>
          </w:p>
        </w:tc>
      </w:tr>
      <w:tr>
        <w:tc>
          <w:tcPr>
            <w:tcW w:type="dxa" w:w="2160"/>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필수 장비</w:t>
              <w:br/>
              <w:t>(작업차량)</w:t>
            </w:r>
          </w:p>
        </w:tc>
        <w:tc>
          <w:tcPr>
            <w:tcW w:type="dxa" w:w="403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절연버킷트럭</w:t>
              <w:br/>
              <w:t>(저압보수차 또는 활선버킷차)</w:t>
            </w:r>
          </w:p>
        </w:tc>
        <w:tc>
          <w:tcPr>
            <w:tcW w:type="dxa" w:w="3168"/>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고소작업대 안전검사 합격증명서 제출</w:t>
              <w:br/>
              <w:t>· 절연내력시험(절연붐 100kV/3분, 버켓 50kV/1분)</w:t>
              <w:br/>
              <w:t>· 연 1회 정기시험 성적서 현장 비치 (10년 이상 반기 1회)</w:t>
            </w:r>
          </w:p>
        </w:tc>
      </w:tr>
      <w:tr>
        <w:tc>
          <w:tcPr>
            <w:tcW w:type="dxa" w:w="2160"/>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필수 공구</w:t>
              <w:br/>
              <w:t>(전지 공구)</w:t>
            </w:r>
          </w:p>
        </w:tc>
        <w:tc>
          <w:tcPr>
            <w:tcW w:type="dxa" w:w="403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연장형 유압식 절연톱</w:t>
              <w:br/>
              <w:t>(체인톱 및 원형 회전톱)</w:t>
            </w:r>
          </w:p>
        </w:tc>
        <w:tc>
          <w:tcPr>
            <w:tcW w:type="dxa" w:w="3168"/>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절연내력시험 성적서 보유 (30kV 이상)</w:t>
              <w:br/>
              <w:t>· 절연핫스틱 부분 길이 1.5m 이상 확보</w:t>
              <w:br/>
              <w:t>· 이동 시 엔진 정지, 끈 달아 낙하 방지</w:t>
            </w:r>
          </w:p>
        </w:tc>
      </w:tr>
      <w:tr>
        <w:tc>
          <w:tcPr>
            <w:tcW w:type="dxa" w:w="2160"/>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필수 보호구</w:t>
              <w:br/>
              <w:t>(개인안전장구)</w:t>
            </w:r>
          </w:p>
        </w:tc>
        <w:tc>
          <w:tcPr>
            <w:tcW w:type="dxa" w:w="403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고소작업자: 절연안전모, 활선접근경보기, 안면보호구, 방염복, 특고압/저압 절연장갑 및 보호용 가죽장갑, 절연안전화, 안전대, 절연고무소매(90cm 이내)</w:t>
              <w:br/>
              <w:t>· 지상작업자: 절연안전모, 절연안전화, 형광조끼</w:t>
            </w:r>
          </w:p>
        </w:tc>
        <w:tc>
          <w:tcPr>
            <w:tcW w:type="dxa" w:w="3168"/>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절연장갑: 600V 이상 (특고압 근접 시 23kV 이상)</w:t>
              <w:br/>
              <w:t>· 안전대 고리는 버킷 내 로프걸이에 고정</w:t>
              <w:br/>
              <w:t>· 착용 미준수 시 당일 공사 전면 중지 및 제재</w:t>
            </w:r>
          </w:p>
        </w:tc>
      </w:tr>
    </w:tbl>
    <w:p>
      <w:pPr>
        <w:spacing w:after="80"/>
      </w:pPr>
    </w:p>
    <w:p>
      <w:pPr>
        <w:pStyle w:val="Heading2"/>
        <w:spacing w:before="200" w:after="80"/>
      </w:pPr>
      <w:r>
        <w:rPr>
          <w:rFonts w:ascii="맑은 고딕" w:hAnsi="맑은 고딕"/>
          <w:b/>
          <w:color w:val="365F91"/>
          <w:sz w:val="24"/>
        </w:rPr>
        <w:t>4.3 작업조 필수 참여 인력 및 역할</w:t>
      </w:r>
    </w:p>
    <w:p>
      <w:pPr>
        <w:pStyle w:val="ListBullet"/>
        <w:spacing w:after="60" w:line="276" w:lineRule="auto"/>
      </w:pPr>
      <w:r>
        <w:rPr>
          <w:rFonts w:ascii="맑은 고딕" w:hAnsi="맑은 고딕"/>
          <w:b/>
          <w:color w:val="1F497D"/>
          <w:sz w:val="19"/>
        </w:rPr>
        <w:t xml:space="preserve">주작업자 (전기분야 유자격자): </w:t>
      </w:r>
      <w:r>
        <w:rPr>
          <w:rFonts w:ascii="맑은 고딕" w:hAnsi="맑은 고딕"/>
          <w:color w:val="333333"/>
          <w:sz w:val="19"/>
        </w:rPr>
        <w:t>배전전공 이상의 유자격자로 절연버킷트럭 조종 가능자('고소작업대 조종자 교육' 이수자). 버킷 탑승 후 직접 전지 수행.</w:t>
      </w:r>
    </w:p>
    <w:p>
      <w:pPr>
        <w:pStyle w:val="ListBullet"/>
        <w:spacing w:after="60" w:line="276" w:lineRule="auto"/>
      </w:pPr>
      <w:r>
        <w:rPr>
          <w:rFonts w:ascii="맑은 고딕" w:hAnsi="맑은 고딕"/>
          <w:b/>
          <w:color w:val="1F497D"/>
          <w:sz w:val="19"/>
        </w:rPr>
        <w:t xml:space="preserve">가로수 수형 관리자 (조경사): </w:t>
      </w:r>
      <w:r>
        <w:rPr>
          <w:rFonts w:ascii="맑은 고딕" w:hAnsi="맑은 고딕"/>
          <w:color w:val="333333"/>
          <w:sz w:val="19"/>
        </w:rPr>
        <w:t>조경분야 유자격자로 가로수 허가조건에 명시된 경우 배치. 지상에서 수형 관리 및 작업 감시 임무 수행 (직접 전지 작업 금지).</w:t>
      </w:r>
    </w:p>
    <w:p>
      <w:pPr>
        <w:pStyle w:val="ListBullet"/>
        <w:spacing w:after="60" w:line="276" w:lineRule="auto"/>
      </w:pPr>
      <w:r>
        <w:rPr>
          <w:rFonts w:ascii="맑은 고딕" w:hAnsi="맑은 고딕"/>
          <w:b/>
          <w:color w:val="1F497D"/>
          <w:sz w:val="19"/>
        </w:rPr>
        <w:t xml:space="preserve">충전부 방호 인력 (활선전공): </w:t>
      </w:r>
      <w:r>
        <w:rPr>
          <w:rFonts w:ascii="맑은 고딕" w:hAnsi="맑은 고딕"/>
          <w:color w:val="333333"/>
          <w:sz w:val="19"/>
        </w:rPr>
        <w:t>활선(무정전)전공 유자격자로 90cm 이내 접근 필요 시 충전부 방호관 취부 및 방호 작업 시행.</w:t>
      </w:r>
    </w:p>
    <w:p>
      <w:pPr>
        <w:pStyle w:val="Heading1"/>
        <w:spacing w:before="280" w:after="120"/>
      </w:pPr>
      <w:r>
        <w:rPr>
          <w:rFonts w:ascii="맑은 고딕" w:hAnsi="맑은 고딕"/>
          <w:b/>
          <w:color w:val="1F497D"/>
          <w:sz w:val="30"/>
        </w:rPr>
        <w:t>5. 현장 안전 관리 및 재해 예방 가이드라인</w:t>
      </w:r>
    </w:p>
    <w:p>
      <w:pPr>
        <w:pStyle w:val="Heading2"/>
        <w:spacing w:before="160" w:after="80"/>
      </w:pPr>
      <w:r>
        <w:rPr>
          <w:rFonts w:ascii="맑은 고딕" w:hAnsi="맑은 고딕"/>
          <w:b/>
          <w:color w:val="365F91"/>
          <w:sz w:val="24"/>
        </w:rPr>
        <w:t>5.1 위험성 Check List 핵심 점검 항목</w:t>
      </w:r>
    </w:p>
    <w:p>
      <w:pPr>
        <w:pStyle w:val="ListBullet"/>
        <w:spacing w:after="40" w:line="276" w:lineRule="auto"/>
      </w:pPr>
      <w:r>
        <w:rPr>
          <w:rFonts w:ascii="맑은 고딕" w:hAnsi="맑은 고딕"/>
          <w:b/>
          <w:color w:val="1F497D"/>
          <w:sz w:val="19"/>
        </w:rPr>
        <w:t xml:space="preserve">작업 전 TBM 및 안전교육: </w:t>
      </w:r>
      <w:r>
        <w:rPr>
          <w:rFonts w:ascii="맑은 고딕" w:hAnsi="맑은 고딕"/>
          <w:color w:val="333333"/>
          <w:sz w:val="19"/>
        </w:rPr>
        <w:t>작업자 전원 참석, 음주/수면부족/약물 복용 여부(PMIS Check) 확인 및 분담 작업 숙지.</w:t>
      </w:r>
    </w:p>
    <w:p>
      <w:pPr>
        <w:pStyle w:val="ListBullet"/>
        <w:spacing w:after="40" w:line="276" w:lineRule="auto"/>
      </w:pPr>
      <w:r>
        <w:rPr>
          <w:rFonts w:ascii="맑은 고딕" w:hAnsi="맑은 고딕"/>
          <w:b/>
          <w:color w:val="1F497D"/>
          <w:sz w:val="19"/>
        </w:rPr>
        <w:t xml:space="preserve">교통 및 보행자 방호: </w:t>
      </w:r>
      <w:r>
        <w:rPr>
          <w:rFonts w:ascii="맑은 고딕" w:hAnsi="맑은 고딕"/>
          <w:color w:val="333333"/>
          <w:sz w:val="19"/>
        </w:rPr>
        <w:t>공사안내판, 라바콘, 구획로프 설치, 교통신호수 및 보행자 유도 감시자 배치. 출퇴근 시간대 작업 지양.</w:t>
      </w:r>
    </w:p>
    <w:p>
      <w:pPr>
        <w:pStyle w:val="ListBullet"/>
        <w:spacing w:after="40" w:line="276" w:lineRule="auto"/>
      </w:pPr>
      <w:r>
        <w:rPr>
          <w:rFonts w:ascii="맑은 고딕" w:hAnsi="맑은 고딕"/>
          <w:b/>
          <w:color w:val="1F497D"/>
          <w:sz w:val="19"/>
        </w:rPr>
        <w:t xml:space="preserve">낙하·비래 방지: </w:t>
      </w:r>
      <w:r>
        <w:rPr>
          <w:rFonts w:ascii="맑은 고딕" w:hAnsi="맑은 고딕"/>
          <w:color w:val="333333"/>
          <w:sz w:val="19"/>
        </w:rPr>
        <w:t>대형 가지 절단 시 로프 매달기 작업 사전 시행. 절단 작업 하부 근로자 출입 금지구역 설정.</w:t>
      </w:r>
    </w:p>
    <w:p>
      <w:pPr>
        <w:pStyle w:val="ListBullet"/>
        <w:spacing w:after="40" w:line="276" w:lineRule="auto"/>
      </w:pPr>
      <w:r>
        <w:rPr>
          <w:rFonts w:ascii="맑은 고딕" w:hAnsi="맑은 고딕"/>
          <w:b/>
          <w:color w:val="1F497D"/>
          <w:sz w:val="19"/>
        </w:rPr>
        <w:t xml:space="preserve">중장비 전도 방지: </w:t>
      </w:r>
      <w:r>
        <w:rPr>
          <w:rFonts w:ascii="맑은 고딕" w:hAnsi="맑은 고딕"/>
          <w:color w:val="333333"/>
          <w:sz w:val="19"/>
        </w:rPr>
        <w:t>버킷트럭 아웃트리거 적정 거치 및 밑받침 목(발판대) 설치 상태 확인.</w:t>
      </w:r>
    </w:p>
    <w:p>
      <w:pPr>
        <w:pStyle w:val="ListBullet"/>
        <w:spacing w:after="40" w:line="276" w:lineRule="auto"/>
      </w:pPr>
      <w:r>
        <w:rPr>
          <w:rFonts w:ascii="맑은 고딕" w:hAnsi="맑은 고딕"/>
          <w:b/>
          <w:color w:val="1F497D"/>
          <w:sz w:val="19"/>
        </w:rPr>
        <w:t xml:space="preserve">충전부 감전 방지: </w:t>
      </w:r>
      <w:r>
        <w:rPr>
          <w:rFonts w:ascii="맑은 고딕" w:hAnsi="맑은 고딕"/>
          <w:color w:val="333333"/>
          <w:sz w:val="19"/>
        </w:rPr>
        <w:t>활선접근경보기 동작 확인, 90cm 이내 접근 시 방호관 취부 확인 및 절연고무소매 착용.</w:t>
      </w:r>
    </w:p>
    <w:p>
      <w:pPr>
        <w:pStyle w:val="Heading2"/>
        <w:spacing w:before="200" w:after="80"/>
      </w:pPr>
      <w:r>
        <w:rPr>
          <w:rFonts w:ascii="맑은 고딕" w:hAnsi="맑은 고딕"/>
          <w:b/>
          <w:color w:val="365F91"/>
          <w:sz w:val="24"/>
        </w:rPr>
        <w:t>5.2 벌독 알레르기 및 보건 안전 대책</w:t>
      </w:r>
    </w:p>
    <w:tbl>
      <w:tblPr>
        <w:tblW w:type="auto" w:w="0"/>
        <w:jc w:val="center"/>
        <w:tblLayout w:type="fixed"/>
        <w:tblLook w:firstColumn="1" w:firstRow="1" w:lastColumn="0" w:lastRow="0" w:noHBand="0" w:noVBand="1" w:val="04A0"/>
      </w:tblPr>
      <w:tblGrid>
        <w:gridCol w:w="9360"/>
      </w:tblGrid>
      <w:tr>
        <w:tc>
          <w:tcPr>
            <w:tcW w:type="dxa" w:w="9360"/>
            <w:shd w:val="clear" w:color="auto" w:fill="F2F4F8"/>
            <w:tcMar>
              <w:top w:w="140" w:type="dxa"/>
              <w:bottom w:w="140" w:type="dxa"/>
              <w:left w:w="200" w:type="dxa"/>
              <w:right w:w="200" w:type="dxa"/>
            </w:tcMar>
            <w:tcBorders>
              <w:left w:val="single" w:sz="24" w:space="0" w:color="1F497D"/>
              <w:top w:val="nil"/>
              <w:right w:val="nil"/>
              <w:bottom w:val="nil"/>
            </w:tcBorders>
          </w:tcPr>
          <w:p>
            <w:pPr>
              <w:spacing w:before="0" w:after="80" w:line="276" w:lineRule="auto"/>
            </w:pPr>
            <w:r>
              <w:rPr>
                <w:rFonts w:ascii="맑은 고딕" w:hAnsi="맑은 고딕"/>
                <w:b/>
                <w:color w:val="1F497D"/>
                <w:sz w:val="21"/>
              </w:rPr>
              <w:t>📌 벌독 알레르기 등급별 관리 지침</w:t>
              <w:br/>
            </w:r>
          </w:p>
          <w:p>
            <w:pPr>
              <w:spacing w:before="0" w:after="60" w:line="276" w:lineRule="auto"/>
            </w:pPr>
            <w:r>
              <w:rPr>
                <w:rFonts w:ascii="맑은 고딕" w:hAnsi="맑은 고딕"/>
                <w:color w:val="333333"/>
                <w:sz w:val="19"/>
              </w:rPr>
              <w:t>· 벌독 알레르기 검사결과 Class 4~6단계(위험도 높음): 수목전지 및 벌목 작업 투입 원천 금지</w:t>
            </w:r>
          </w:p>
          <w:p>
            <w:pPr>
              <w:spacing w:before="0" w:after="60" w:line="276" w:lineRule="auto"/>
            </w:pPr>
            <w:r>
              <w:rPr>
                <w:rFonts w:ascii="맑은 고딕" w:hAnsi="맑은 고딕"/>
                <w:color w:val="333333"/>
                <w:sz w:val="19"/>
              </w:rPr>
              <w:t>· Class 3단계(보통): 벌 쏘임 보호복 의무 착용, 에피네프린 자가주사제(젝스트) 개별 소지(보냉파우치) 및 인근 응급의료기관 사전 파악</w:t>
            </w:r>
          </w:p>
          <w:p>
            <w:pPr>
              <w:spacing w:before="0" w:after="60" w:line="276" w:lineRule="auto"/>
            </w:pPr>
            <w:r>
              <w:rPr>
                <w:rFonts w:ascii="맑은 고딕" w:hAnsi="맑은 고딕"/>
                <w:color w:val="333333"/>
                <w:sz w:val="19"/>
              </w:rPr>
              <w:t>· 작업 전 긴 막대 등을 이용하여 수목 주변 벌집 유무 확인 및 냄새 유발 화장품/스프레이 사용 자제</w:t>
            </w:r>
          </w:p>
        </w:tc>
      </w:tr>
    </w:tbl>
    <w:p>
      <w:pPr>
        <w:spacing w:before="0" w:after="120"/>
      </w:pPr>
    </w:p>
    <w:p>
      <w:pPr>
        <w:pStyle w:val="Heading2"/>
        <w:spacing w:before="200" w:after="80"/>
      </w:pPr>
      <w:r>
        <w:rPr>
          <w:rFonts w:ascii="맑은 고딕" w:hAnsi="맑은 고딕"/>
          <w:b/>
          <w:color w:val="365F91"/>
          <w:sz w:val="24"/>
        </w:rPr>
        <w:t>5.3 작업자 과실 정전 유발 시 제재 기준 (위약벌)</w:t>
      </w:r>
    </w:p>
    <w:p>
      <w:pPr>
        <w:spacing w:line="276" w:lineRule="auto" w:after="120"/>
      </w:pPr>
      <w:r>
        <w:rPr>
          <w:rFonts w:ascii="맑은 고딕" w:hAnsi="맑은 고딕"/>
          <w:sz w:val="20"/>
        </w:rPr>
        <w:t>수목전지 작업 중 작업자의 부주의 또는 과실로 인하여 선로 고장 및 정전이 발생한 경우, 다음과 같은 위약벌이 부과됩니다:</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정전 구분</w:t>
            </w:r>
          </w:p>
        </w:tc>
        <w:tc>
          <w:tcPr>
            <w:tcW w:type="dxa" w:w="2592"/>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위약벌 금액</w:t>
            </w:r>
          </w:p>
        </w:tc>
        <w:tc>
          <w:tcPr>
            <w:tcW w:type="dxa" w:w="4176"/>
            <w:shd w:val="clear" w:color="auto" w:fill="1F497D"/>
            <w:tcMar>
              <w:top w:w="120" w:type="dxa"/>
              <w:bottom w:w="120" w:type="dxa"/>
              <w:left w:w="100" w:type="dxa"/>
              <w:right w:w="100" w:type="dxa"/>
            </w:tcMar>
          </w:tcPr>
          <w:p>
            <w:pPr>
              <w:spacing w:after="0"/>
              <w:jc w:val="center"/>
            </w:pPr>
            <w:r>
              <w:rPr>
                <w:rFonts w:ascii="맑은 고딕" w:hAnsi="맑은 고딕"/>
                <w:b/>
                <w:color w:val="FFFFFF"/>
                <w:sz w:val="19"/>
              </w:rPr>
              <w:t>세부 부과 기준</w:t>
            </w:r>
          </w:p>
        </w:tc>
      </w:tr>
      <w:tr>
        <w:tc>
          <w:tcPr>
            <w:tcW w:type="dxa" w:w="259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고압선로 일시정전</w:t>
            </w:r>
          </w:p>
        </w:tc>
        <w:tc>
          <w:tcPr>
            <w:tcW w:type="dxa" w:w="259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A등급: 1,500만원 / B등급: 1,000만원</w:t>
              <w:br/>
              <w:t>C등급: 500만원 / D등급: 500만원</w:t>
            </w:r>
          </w:p>
        </w:tc>
        <w:tc>
          <w:tcPr>
            <w:tcW w:type="dxa" w:w="4176"/>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 A등급: 8,000세대 이상, 5분 이상 정전</w:t>
              <w:br/>
              <w:t>· B등급: 4,000세대 이상, 5분 이상 정전</w:t>
              <w:br/>
              <w:t>· C등급: 1,000세대 이상, 1시간 이상 정전</w:t>
            </w:r>
          </w:p>
        </w:tc>
      </w:tr>
      <w:tr>
        <w:tc>
          <w:tcPr>
            <w:tcW w:type="dxa" w:w="259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고압선로 순간정전</w:t>
            </w:r>
          </w:p>
        </w:tc>
        <w:tc>
          <w:tcPr>
            <w:tcW w:type="dxa" w:w="259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200만원 (1회당)</w:t>
            </w:r>
          </w:p>
        </w:tc>
        <w:tc>
          <w:tcPr>
            <w:tcW w:type="dxa" w:w="4176"/>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순간적인 전압 강하 및 재폐로 동작 발생 시</w:t>
            </w:r>
          </w:p>
        </w:tc>
      </w:tr>
      <w:tr>
        <w:tc>
          <w:tcPr>
            <w:tcW w:type="dxa" w:w="259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고압선로 순시정전</w:t>
            </w:r>
          </w:p>
        </w:tc>
        <w:tc>
          <w:tcPr>
            <w:tcW w:type="dxa" w:w="2592"/>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100만원 (1회당)</w:t>
            </w:r>
          </w:p>
        </w:tc>
        <w:tc>
          <w:tcPr>
            <w:tcW w:type="dxa" w:w="4176"/>
            <w:shd w:val="clear" w:color="auto" w:fill="F9FAFC"/>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선로 순시 차단 동작 시</w:t>
            </w:r>
          </w:p>
        </w:tc>
      </w:tr>
      <w:tr>
        <w:tc>
          <w:tcPr>
            <w:tcW w:type="dxa" w:w="259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center"/>
            </w:pPr>
            <w:r>
              <w:rPr>
                <w:rFonts w:ascii="맑은 고딕" w:hAnsi="맑은 고딕"/>
                <w:b/>
                <w:color w:val="333333"/>
                <w:sz w:val="17"/>
              </w:rPr>
              <w:t>변대단위 저압정전 / 화재</w:t>
            </w:r>
          </w:p>
        </w:tc>
        <w:tc>
          <w:tcPr>
            <w:tcW w:type="dxa" w:w="2592"/>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저압정전: 100만원</w:t>
              <w:br/>
              <w:t>화재 등 물의: 500만원</w:t>
            </w:r>
          </w:p>
        </w:tc>
        <w:tc>
          <w:tcPr>
            <w:tcW w:type="dxa" w:w="4176"/>
            <w:shd w:val="clear" w:color="auto" w:fill="FFFFFF"/>
            <w:tcMar>
              <w:top w:w="100" w:type="dxa"/>
              <w:bottom w:w="100" w:type="dxa"/>
              <w:left w:w="100" w:type="dxa"/>
              <w:right w:w="100" w:type="dxa"/>
            </w:tcMar>
            <w:tcBorders>
              <w:top w:val="single" w:sz="4" w:space="0" w:color="D3D3D3"/>
              <w:bottom w:val="single" w:sz="4" w:space="0" w:color="D3D3D3"/>
              <w:left w:val="single" w:sz="4" w:space="0" w:color="E0E0E0"/>
              <w:right w:val="single" w:sz="4" w:space="0" w:color="E0E0E0"/>
            </w:tcBorders>
          </w:tcPr>
          <w:p>
            <w:pPr>
              <w:spacing w:after="0" w:line="276" w:lineRule="auto"/>
              <w:jc w:val="left"/>
            </w:pPr>
            <w:r>
              <w:rPr>
                <w:rFonts w:ascii="맑은 고딕" w:hAnsi="맑은 고딕"/>
                <w:color w:val="333333"/>
                <w:sz w:val="17"/>
              </w:rPr>
              <w:t>변압기 단위 저압 정전 및 화재 사고 유발 시 (설비 복구비용 별도 부과)</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val="clear" w:color="auto" w:fill="F2F4F8"/>
            <w:tcMar>
              <w:top w:w="140" w:type="dxa"/>
              <w:bottom w:w="140" w:type="dxa"/>
              <w:left w:w="200" w:type="dxa"/>
              <w:right w:w="200" w:type="dxa"/>
            </w:tcMar>
            <w:tcBorders>
              <w:left w:val="single" w:sz="24" w:space="0" w:color="1F497D"/>
              <w:top w:val="nil"/>
              <w:right w:val="nil"/>
              <w:bottom w:val="nil"/>
            </w:tcBorders>
          </w:tcPr>
          <w:p>
            <w:pPr>
              <w:spacing w:before="0" w:after="80" w:line="276" w:lineRule="auto"/>
            </w:pPr>
            <w:r>
              <w:rPr>
                <w:rFonts w:ascii="맑은 고딕" w:hAnsi="맑은 고딕"/>
                <w:b/>
                <w:color w:val="1F497D"/>
                <w:sz w:val="21"/>
              </w:rPr>
              <w:t>📌 현장 이행 당부사항</w:t>
              <w:br/>
            </w:r>
          </w:p>
          <w:p>
            <w:pPr>
              <w:spacing w:before="0" w:after="60" w:line="276" w:lineRule="auto"/>
            </w:pPr>
            <w:r>
              <w:rPr>
                <w:rFonts w:ascii="맑은 고딕" w:hAnsi="맑은 고딕"/>
                <w:color w:val="333333"/>
                <w:sz w:val="19"/>
              </w:rPr>
              <w:t>본 안내서에 명시된 수목전지 기준과 안전수칙을 철저히 준수하여 무사고·무재해 현장을 달성하시기 바랍니다.</w:t>
            </w:r>
          </w:p>
          <w:p>
            <w:pPr>
              <w:spacing w:before="0" w:after="60" w:line="276" w:lineRule="auto"/>
            </w:pPr>
            <w:r>
              <w:rPr>
                <w:rFonts w:ascii="맑은 고딕" w:hAnsi="맑은 고딕"/>
                <w:color w:val="333333"/>
                <w:sz w:val="19"/>
              </w:rPr>
              <w:t>기타 문의사항이나 현장 특이사항 발생 시 한전 관할 사업소 설비운영 부서 담당자(감독자)에게 즉시 보고 후 지시에 따르시기 바랍니다.</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808080"/>
        <w:sz w:val="18"/>
      </w:rPr>
      <w:t xml:space="preserve"> - </w:t>
    </w:r>
    <w:fldSimple w:instr="PAGE"/>
    <w:r>
      <w:rPr>
        <w:rFonts w:ascii="맑은 고딕" w:hAnsi="맑은 고딕"/>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808080"/>
        <w:sz w:val="17"/>
      </w:rPr>
      <w:t>배전선로 근접수목 관리 | 수목전지작업 기초 안내서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