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5AC" w:rsidRPr="006B45AC" w:rsidRDefault="006B45AC" w:rsidP="006B45AC">
      <w:pPr>
        <w:ind w:firstLine="709"/>
        <w:rPr>
          <w:rFonts w:ascii="Times New Roman" w:hAnsi="Times New Roman"/>
          <w:sz w:val="24"/>
          <w:szCs w:val="24"/>
          <w:lang w:val="ru-RU"/>
        </w:rPr>
      </w:pPr>
      <w:r w:rsidRPr="00BB5A29">
        <w:rPr>
          <w:rFonts w:ascii="Times New Roman" w:hAnsi="Times New Roman"/>
          <w:sz w:val="24"/>
          <w:szCs w:val="24"/>
        </w:rPr>
        <w:t>Личный кабинет РУП «Белпочта» является частью сайта почтового оператора и представляет собой веб-страницу, доступ к которой имеют только авторизованные пользователи. Визуальный интерфейс личного кабинета РУП «Белпочта» представлен на рисунке</w:t>
      </w:r>
      <w:r>
        <w:rPr>
          <w:rFonts w:ascii="Times New Roman" w:hAnsi="Times New Roman"/>
          <w:sz w:val="24"/>
          <w:szCs w:val="24"/>
          <w:lang w:val="ru-RU"/>
        </w:rPr>
        <w:t xml:space="preserve"> 1.</w:t>
      </w:r>
    </w:p>
    <w:p w:rsidR="006B45AC" w:rsidRPr="00322019" w:rsidRDefault="006B45AC" w:rsidP="006B45AC">
      <w:pPr>
        <w:ind w:firstLine="709"/>
        <w:rPr>
          <w:sz w:val="18"/>
          <w:szCs w:val="18"/>
        </w:rPr>
      </w:pPr>
    </w:p>
    <w:p w:rsidR="006B45AC" w:rsidRPr="006F22A2" w:rsidRDefault="006B45AC" w:rsidP="006B45A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ragraph">
                  <wp:posOffset>3277235</wp:posOffset>
                </wp:positionV>
                <wp:extent cx="1348740" cy="2606040"/>
                <wp:effectExtent l="19050" t="38100" r="41910" b="2286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8740" cy="2606040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6142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147.15pt;margin-top:258.05pt;width:106.2pt;height:205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" strokecolor="black [3200]" strokeweight="3.25pt">
                <v:stroke endarrow="block" joinstyle="miter"/>
              </v:shape>
            </w:pict>
          </mc:Fallback>
        </mc:AlternateContent>
      </w:r>
      <w:r w:rsidRPr="006F22A2">
        <w:rPr>
          <w:rFonts w:ascii="Times New Roman" w:hAnsi="Times New Roman"/>
          <w:noProof/>
          <w:lang w:val="ru-RU" w:eastAsia="ru-RU"/>
        </w:rPr>
        <w:drawing>
          <wp:inline distT="0" distB="0" distL="0" distR="0" wp14:anchorId="728D9B0A" wp14:editId="3D81CED6">
            <wp:extent cx="2407577" cy="3305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60" r="76435" b="13223"/>
                    <a:stretch/>
                  </pic:blipFill>
                  <pic:spPr bwMode="auto">
                    <a:xfrm>
                      <a:off x="0" y="0"/>
                      <a:ext cx="2441229" cy="33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5AC" w:rsidRPr="006F22A2" w:rsidRDefault="006B45AC" w:rsidP="006B45AC">
      <w:pPr>
        <w:jc w:val="center"/>
        <w:rPr>
          <w:rFonts w:ascii="Times New Roman" w:hAnsi="Times New Roman"/>
          <w:sz w:val="24"/>
          <w:szCs w:val="24"/>
        </w:rPr>
      </w:pPr>
    </w:p>
    <w:p w:rsidR="006B45AC" w:rsidRPr="006F22A2" w:rsidRDefault="006B45AC" w:rsidP="006B45AC">
      <w:pPr>
        <w:jc w:val="center"/>
        <w:rPr>
          <w:rFonts w:ascii="Times New Roman" w:hAnsi="Times New Roman"/>
          <w:sz w:val="24"/>
          <w:szCs w:val="24"/>
        </w:rPr>
      </w:pPr>
      <w:r w:rsidRPr="006F22A2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ru-RU"/>
        </w:rPr>
        <w:t>1</w:t>
      </w:r>
      <w:r w:rsidRPr="006F22A2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Вкладки</w:t>
      </w:r>
      <w:r w:rsidRPr="006F22A2">
        <w:rPr>
          <w:rFonts w:ascii="Times New Roman" w:hAnsi="Times New Roman"/>
          <w:sz w:val="24"/>
          <w:szCs w:val="24"/>
        </w:rPr>
        <w:t xml:space="preserve"> личного кабинета РУП «Белпочта»</w:t>
      </w:r>
    </w:p>
    <w:p w:rsidR="006B45AC" w:rsidRPr="006B45AC" w:rsidRDefault="006B45AC" w:rsidP="006B45AC">
      <w:pPr>
        <w:ind w:firstLine="709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данный личный кабинет добавить «Филателия»</w:t>
      </w:r>
    </w:p>
    <w:p w:rsidR="000702BA" w:rsidRPr="000702BA" w:rsidRDefault="000702BA" w:rsidP="000702BA">
      <w:pPr>
        <w:ind w:firstLine="709"/>
        <w:rPr>
          <w:rFonts w:ascii="Times New Roman" w:hAnsi="Times New Roman"/>
          <w:sz w:val="36"/>
          <w:szCs w:val="36"/>
          <w:lang w:val="ru-RU"/>
        </w:rPr>
      </w:pPr>
      <w:r w:rsidRPr="000702BA">
        <w:rPr>
          <w:rFonts w:ascii="Times New Roman" w:hAnsi="Times New Roman"/>
          <w:sz w:val="36"/>
          <w:szCs w:val="36"/>
          <w:lang w:val="ru-RU"/>
        </w:rPr>
        <w:t>ЭТО ПРЕДЛАГАЕТСЯ ДОБАВИТЬ В МОБИЛЬНОЕ ПРИЛОЖЕНИЕ РУП «</w:t>
      </w:r>
      <w:proofErr w:type="spellStart"/>
      <w:r w:rsidRPr="000702BA">
        <w:rPr>
          <w:rFonts w:ascii="Times New Roman" w:hAnsi="Times New Roman"/>
          <w:sz w:val="36"/>
          <w:szCs w:val="36"/>
          <w:lang w:val="ru-RU"/>
        </w:rPr>
        <w:t>Белпочта</w:t>
      </w:r>
      <w:proofErr w:type="spellEnd"/>
      <w:r w:rsidRPr="000702BA">
        <w:rPr>
          <w:rFonts w:ascii="Times New Roman" w:hAnsi="Times New Roman"/>
          <w:sz w:val="36"/>
          <w:szCs w:val="36"/>
          <w:lang w:val="ru-RU"/>
        </w:rPr>
        <w:t>».</w:t>
      </w:r>
    </w:p>
    <w:p w:rsidR="000702BA" w:rsidRPr="000702BA" w:rsidRDefault="000702BA" w:rsidP="000702BA">
      <w:pPr>
        <w:ind w:firstLine="709"/>
        <w:rPr>
          <w:rFonts w:ascii="Times New Roman" w:hAnsi="Times New Roman"/>
          <w:sz w:val="36"/>
          <w:szCs w:val="36"/>
        </w:rPr>
      </w:pP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Главная страница будет иметь следующий вид, см рисунок </w:t>
      </w:r>
      <w:r>
        <w:rPr>
          <w:rFonts w:ascii="Times New Roman" w:hAnsi="Times New Roman"/>
          <w:sz w:val="24"/>
          <w:szCs w:val="24"/>
          <w:lang w:val="ru-RU"/>
        </w:rPr>
        <w:t>2</w:t>
      </w:r>
      <w:r>
        <w:rPr>
          <w:rFonts w:ascii="Times New Roman" w:hAnsi="Times New Roman"/>
          <w:sz w:val="24"/>
          <w:szCs w:val="24"/>
        </w:rPr>
        <w:t>: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 wp14:anchorId="64446E96" wp14:editId="30534CE1">
            <wp:extent cx="3749040" cy="1877632"/>
            <wp:effectExtent l="0" t="0" r="381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hoto_2024-06-09_12-36-5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68" cy="18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 – Главная страница раздела «Филателия»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Главная страница содержит 5 разделов: «Каталоги», «Посткроссинг», «Отзывы», «Помощник», «Ссылки». После апробации приложения можно конечно дополнять или видоизменять вкладки.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Вкладка «Каталоги» позволяет пользователям ознакомиться с существу</w:t>
      </w:r>
      <w:r>
        <w:rPr>
          <w:rFonts w:ascii="Times New Roman" w:hAnsi="Times New Roman"/>
          <w:sz w:val="24"/>
          <w:szCs w:val="24"/>
        </w:rPr>
        <w:t xml:space="preserve">ющими каталогами, см. рисунок </w:t>
      </w:r>
      <w:r>
        <w:rPr>
          <w:rFonts w:ascii="Times New Roman" w:hAnsi="Times New Roman"/>
          <w:sz w:val="24"/>
          <w:szCs w:val="24"/>
          <w:lang w:val="ru-RU"/>
        </w:rPr>
        <w:t>3</w:t>
      </w:r>
      <w:r>
        <w:rPr>
          <w:rFonts w:ascii="Times New Roman" w:hAnsi="Times New Roman"/>
          <w:sz w:val="24"/>
          <w:szCs w:val="24"/>
        </w:rPr>
        <w:t>.</w:t>
      </w: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 wp14:anchorId="06B92C28" wp14:editId="08DFBAE6">
            <wp:extent cx="1728788" cy="3461850"/>
            <wp:effectExtent l="0" t="0" r="508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oto_2024-05-31_14-17-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364" cy="3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ru-RU"/>
        </w:rPr>
        <w:t>3</w:t>
      </w:r>
      <w:r>
        <w:rPr>
          <w:rFonts w:ascii="Times New Roman" w:hAnsi="Times New Roman"/>
          <w:sz w:val="24"/>
          <w:szCs w:val="24"/>
        </w:rPr>
        <w:t xml:space="preserve"> – Вкладка «Каталоги»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Pr="00CE0581" w:rsidRDefault="000702BA" w:rsidP="000702BA">
      <w:pPr>
        <w:ind w:firstLine="708"/>
        <w:rPr>
          <w:rFonts w:ascii="Times New Roman" w:eastAsia="SimSun" w:hAnsi="Times New Roman"/>
          <w:sz w:val="24"/>
          <w:szCs w:val="24"/>
          <w:lang w:eastAsia="ru-RU"/>
        </w:rPr>
      </w:pPr>
      <w:r w:rsidRPr="00CE0581">
        <w:rPr>
          <w:rFonts w:ascii="Times New Roman" w:eastAsia="SimSun" w:hAnsi="Times New Roman"/>
          <w:sz w:val="24"/>
          <w:szCs w:val="24"/>
          <w:lang w:eastAsia="ru-RU"/>
        </w:rPr>
        <w:t>Тематических планы формируются по следующим принципам:</w:t>
      </w:r>
    </w:p>
    <w:p w:rsidR="000702BA" w:rsidRPr="00FB0C5F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1) </w:t>
      </w:r>
      <w:r w:rsidRPr="00FB0C5F">
        <w:rPr>
          <w:rFonts w:ascii="Times New Roman" w:hAnsi="Times New Roman"/>
          <w:sz w:val="24"/>
          <w:szCs w:val="24"/>
        </w:rPr>
        <w:t>выпуски государственных знаков почтовой оплаты, как правило, не посвящаются ныне здравствующим лицам;</w:t>
      </w:r>
    </w:p>
    <w:p w:rsidR="000702BA" w:rsidRPr="00FB0C5F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 </w:t>
      </w:r>
      <w:r w:rsidRPr="00FB0C5F">
        <w:rPr>
          <w:rFonts w:ascii="Times New Roman" w:hAnsi="Times New Roman"/>
          <w:sz w:val="24"/>
          <w:szCs w:val="24"/>
        </w:rPr>
        <w:t>выдающиеся государственные и политические деятели, деятели науки, культуры и искусства могут быть размещены на государственных знаках почтовой оплаты не ранее 5-ти лет после кончины и к юбилеям со дня рождения, кратным 25;</w:t>
      </w:r>
    </w:p>
    <w:p w:rsidR="000702BA" w:rsidRPr="00FB0C5F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3) </w:t>
      </w:r>
      <w:r w:rsidRPr="00FB0C5F">
        <w:rPr>
          <w:rFonts w:ascii="Times New Roman" w:hAnsi="Times New Roman"/>
          <w:sz w:val="24"/>
          <w:szCs w:val="24"/>
        </w:rPr>
        <w:t>не издаются государственные знаки почтовой оплаты с надбавкой к номинальной стоимости (почтово-благотворительные марки).</w:t>
      </w:r>
    </w:p>
    <w:p w:rsidR="000702BA" w:rsidRPr="00CE0581" w:rsidRDefault="000702BA" w:rsidP="000702BA">
      <w:pPr>
        <w:ind w:firstLine="708"/>
        <w:rPr>
          <w:rFonts w:ascii="Times New Roman" w:eastAsia="SimSun" w:hAnsi="Times New Roman"/>
          <w:sz w:val="24"/>
          <w:szCs w:val="24"/>
          <w:lang w:eastAsia="ru-RU"/>
        </w:rPr>
      </w:pPr>
      <w:r w:rsidRPr="00CE0581">
        <w:rPr>
          <w:rFonts w:ascii="Times New Roman" w:eastAsia="SimSun" w:hAnsi="Times New Roman"/>
          <w:sz w:val="24"/>
          <w:szCs w:val="24"/>
          <w:lang w:eastAsia="ru-RU"/>
        </w:rPr>
        <w:lastRenderedPageBreak/>
        <w:t>Тематическими планами предусматривается выпуск до 69 сюжетов почтовых марок и блоков (без у</w:t>
      </w:r>
      <w:r>
        <w:rPr>
          <w:rFonts w:ascii="Times New Roman" w:eastAsia="SimSun" w:hAnsi="Times New Roman"/>
          <w:sz w:val="24"/>
          <w:szCs w:val="24"/>
          <w:lang w:eastAsia="ru-RU"/>
        </w:rPr>
        <w:t xml:space="preserve">чета стандартных марок) в год, </w:t>
      </w:r>
      <w:r w:rsidRPr="00CE0581">
        <w:rPr>
          <w:rFonts w:ascii="Times New Roman" w:eastAsia="SimSun" w:hAnsi="Times New Roman"/>
          <w:sz w:val="24"/>
          <w:szCs w:val="24"/>
          <w:lang w:eastAsia="ru-RU"/>
        </w:rPr>
        <w:t>а также до 10 сюжетов конвертов с оригинальными марками и до 5 сюжетов карточек с оригинальными марками.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Поэтому в разделе «Филателия» предусмотрена вкладка </w:t>
      </w:r>
      <w:r>
        <w:rPr>
          <w:rFonts w:ascii="Times New Roman" w:hAnsi="Times New Roman"/>
          <w:sz w:val="24"/>
          <w:szCs w:val="24"/>
        </w:rPr>
        <w:t>Посткроссинг»</w:t>
      </w:r>
      <w:r>
        <w:rPr>
          <w:rFonts w:ascii="Times New Roman" w:hAnsi="Times New Roman"/>
          <w:sz w:val="24"/>
          <w:szCs w:val="24"/>
          <w:lang w:val="ru-RU"/>
        </w:rPr>
        <w:t>, рисунок 4.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0702BA" w:rsidRDefault="000702BA" w:rsidP="000702BA">
      <w:pPr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 wp14:anchorId="0A11BE28" wp14:editId="65B8CBA3">
            <wp:extent cx="4739640" cy="2803253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oto_2024-05-31_14-16-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788" cy="28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ru-RU"/>
        </w:rPr>
        <w:t>4</w:t>
      </w:r>
      <w:r>
        <w:rPr>
          <w:rFonts w:ascii="Times New Roman" w:hAnsi="Times New Roman"/>
          <w:sz w:val="24"/>
          <w:szCs w:val="24"/>
        </w:rPr>
        <w:t xml:space="preserve"> – Раздел «</w:t>
      </w:r>
      <w:r>
        <w:rPr>
          <w:rFonts w:ascii="Times New Roman" w:hAnsi="Times New Roman"/>
          <w:sz w:val="24"/>
          <w:szCs w:val="24"/>
          <w:lang w:val="ru-RU"/>
        </w:rPr>
        <w:t>П</w:t>
      </w:r>
      <w:r>
        <w:rPr>
          <w:rFonts w:ascii="Times New Roman" w:hAnsi="Times New Roman"/>
          <w:sz w:val="24"/>
          <w:szCs w:val="24"/>
        </w:rPr>
        <w:t>осткроссинг»</w:t>
      </w: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того, чтобы понять как воспринимает потребитель услугу, оказываемую предприятием почтовой связи необходима обратная связь с ним. В данном приложении акцентировалось внимание на филателистическую услугу и поэтому предосмотрена вкалдка «Отзывы</w:t>
      </w:r>
      <w:r>
        <w:rPr>
          <w:rFonts w:ascii="Times New Roman" w:hAnsi="Times New Roman"/>
          <w:sz w:val="24"/>
          <w:szCs w:val="24"/>
        </w:rPr>
        <w:t xml:space="preserve">», см. рисунок </w:t>
      </w:r>
      <w:r>
        <w:rPr>
          <w:rFonts w:ascii="Times New Roman" w:hAnsi="Times New Roman"/>
          <w:sz w:val="24"/>
          <w:szCs w:val="24"/>
          <w:lang w:val="ru-RU"/>
        </w:rPr>
        <w:t>5</w:t>
      </w:r>
      <w:r>
        <w:rPr>
          <w:rFonts w:ascii="Times New Roman" w:hAnsi="Times New Roman"/>
          <w:sz w:val="24"/>
          <w:szCs w:val="24"/>
        </w:rPr>
        <w:t>.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 w:rsidRPr="00C02553">
        <w:rPr>
          <w:noProof/>
          <w:lang w:val="ru-RU" w:eastAsia="ru-RU"/>
        </w:rPr>
        <w:drawing>
          <wp:inline distT="0" distB="0" distL="0" distR="0" wp14:anchorId="7D691483" wp14:editId="4344DFCC">
            <wp:extent cx="4511040" cy="2560320"/>
            <wp:effectExtent l="0" t="0" r="3810" b="0"/>
            <wp:docPr id="10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574" cy="25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/>
          <w:sz w:val="24"/>
          <w:szCs w:val="24"/>
          <w:lang w:val="ru-RU"/>
        </w:rPr>
        <w:t>5</w:t>
      </w:r>
      <w:r>
        <w:rPr>
          <w:rFonts w:ascii="Times New Roman" w:hAnsi="Times New Roman"/>
          <w:sz w:val="24"/>
          <w:szCs w:val="24"/>
        </w:rPr>
        <w:t xml:space="preserve"> – Раздел «Отзывы» во вкладке «Филателия»</w:t>
      </w: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Отдельно на главной с</w:t>
      </w:r>
      <w:r>
        <w:rPr>
          <w:rFonts w:ascii="Times New Roman" w:hAnsi="Times New Roman"/>
          <w:sz w:val="24"/>
          <w:szCs w:val="24"/>
        </w:rPr>
        <w:t>транице выделана вкладка ссылки</w:t>
      </w:r>
      <w:r>
        <w:rPr>
          <w:rFonts w:ascii="Times New Roman" w:hAnsi="Times New Roman"/>
          <w:sz w:val="24"/>
          <w:szCs w:val="24"/>
          <w:lang w:val="ru-RU"/>
        </w:rPr>
        <w:t>, рисунок 5.</w:t>
      </w:r>
      <w:r>
        <w:rPr>
          <w:rFonts w:ascii="Times New Roman" w:hAnsi="Times New Roman"/>
          <w:sz w:val="24"/>
          <w:szCs w:val="24"/>
        </w:rPr>
        <w:t xml:space="preserve"> На ее странице можно разместить не только ссылку на сайт РУП «Белпочта», но и различных компаний (заключив с ними предварительный договор об оплате рекламы их сайта).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 w:rsidRPr="00C02553">
        <w:rPr>
          <w:noProof/>
          <w:lang w:val="ru-RU" w:eastAsia="ru-RU"/>
        </w:rPr>
        <w:drawing>
          <wp:inline distT="0" distB="0" distL="0" distR="0" wp14:anchorId="444A78D7" wp14:editId="780AA0E0">
            <wp:extent cx="4206240" cy="2247900"/>
            <wp:effectExtent l="0" t="0" r="3810" b="0"/>
            <wp:docPr id="10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676" cy="22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A" w:rsidRDefault="000702BA" w:rsidP="000702BA">
      <w:pPr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ru-RU"/>
        </w:rPr>
        <w:t>5</w:t>
      </w:r>
      <w:r>
        <w:rPr>
          <w:rFonts w:ascii="Times New Roman" w:hAnsi="Times New Roman"/>
          <w:sz w:val="24"/>
          <w:szCs w:val="24"/>
        </w:rPr>
        <w:t xml:space="preserve"> – Вкладка «Ссылки»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Особое место уделено вкладке «Помощник», см. рисунок </w:t>
      </w:r>
      <w:r>
        <w:rPr>
          <w:rFonts w:ascii="Times New Roman" w:hAnsi="Times New Roman"/>
          <w:sz w:val="24"/>
          <w:szCs w:val="24"/>
          <w:lang w:val="ru-RU"/>
        </w:rPr>
        <w:t>6</w:t>
      </w:r>
      <w:r>
        <w:rPr>
          <w:rFonts w:ascii="Times New Roman" w:hAnsi="Times New Roman"/>
          <w:sz w:val="24"/>
          <w:szCs w:val="24"/>
        </w:rPr>
        <w:t>. Следует обратить внимание, что часто у пользователей возникают разнообразные вопросы, поэтому не всегда специалисты колл-центра могут оперативно отреагировать. Поэтому, в этом разделе будет предусмотрен искусственный интеллект.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 w:rsidRPr="007D5071">
        <w:rPr>
          <w:noProof/>
          <w:lang w:val="ru-RU" w:eastAsia="ru-RU"/>
        </w:rPr>
        <w:drawing>
          <wp:inline distT="0" distB="0" distL="0" distR="0" wp14:anchorId="4ACAAA3C" wp14:editId="5BF1992F">
            <wp:extent cx="3901440" cy="1706880"/>
            <wp:effectExtent l="0" t="0" r="3810" b="7620"/>
            <wp:docPr id="102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0702BA" w:rsidRDefault="000702BA" w:rsidP="000702B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  <w:lang w:val="ru-RU"/>
        </w:rPr>
        <w:t>6</w:t>
      </w:r>
      <w:r>
        <w:rPr>
          <w:rFonts w:ascii="Times New Roman" w:hAnsi="Times New Roman"/>
          <w:sz w:val="24"/>
          <w:szCs w:val="24"/>
        </w:rPr>
        <w:t xml:space="preserve"> – Вкладка «Персональный помощник»</w:t>
      </w:r>
    </w:p>
    <w:p w:rsidR="000702BA" w:rsidRDefault="000702BA" w:rsidP="000702BA">
      <w:pPr>
        <w:ind w:firstLine="709"/>
        <w:rPr>
          <w:rFonts w:ascii="Times New Roman" w:hAnsi="Times New Roman"/>
          <w:sz w:val="24"/>
          <w:szCs w:val="24"/>
        </w:rPr>
      </w:pPr>
    </w:p>
    <w:p w:rsidR="00842CBA" w:rsidRDefault="00842CBA"/>
    <w:sectPr w:rsidR="00842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2BA"/>
    <w:rsid w:val="000702BA"/>
    <w:rsid w:val="006B45AC"/>
    <w:rsid w:val="0084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37829"/>
  <w15:chartTrackingRefBased/>
  <w15:docId w15:val="{CDBBD8B1-D045-4D2F-A321-526A16D5F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02BA"/>
    <w:pPr>
      <w:spacing w:after="0" w:line="360" w:lineRule="auto"/>
      <w:jc w:val="both"/>
    </w:pPr>
    <w:rPr>
      <w:rFonts w:ascii="Calibri" w:eastAsia="Calibri" w:hAnsi="Calibri" w:cs="Times New Roman"/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2024-11-12T10:10:00Z</dcterms:created>
  <dcterms:modified xsi:type="dcterms:W3CDTF">2024-11-12T10:22:00Z</dcterms:modified>
</cp:coreProperties>
</file>