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before="0" w:after="60" w:line="240" w:lineRule="auto"/>
      </w:pPr>
      <w:r>
        <w:rPr>
          <w:rFonts w:ascii="Calibri" w:hAnsi="Calibri" w:cs="Calibri"/>
          <w:sz w:val="20"/>
        </w:rPr>
        <w:t xml:space="preserve">&lt;w:r&gt;&lt;w:rPr&gt;&lt;w:rFonts w:ascii="Calibri" w:hAnsi="Calibri" w:cs="Calibri"/&gt;&lt;w:color w:val="555555"/&gt;&lt;w:sz w:val="26"/&gt;&lt;/w:rPr&gt;&lt;w:t xml:space="preserve"&gt;COMPSYS 704 — Advanced Embedded Systems&lt;/w:t&gt;&lt;/w:r&gt;</w:t>
      </w:r>
    </w:p>
    <w:p>
      <w:pPr>
        <w:jc w:val="center"/>
        <w:spacing w:before="0" w:after="400" w:line="240" w:lineRule="auto"/>
      </w:pPr>
      <w:r>
        <w:rPr>
          <w:rFonts w:ascii="Calibri" w:hAnsi="Calibri" w:cs="Calibri"/>
          <w:sz w:val="20"/>
        </w:rPr>
        <w:t xml:space="preserve">&lt;w:r&gt;&lt;w:rPr&gt;&lt;w:rFonts w:ascii="Calibri" w:hAnsi="Calibri" w:cs="Calibri"/&gt;&lt;w:color w:val="555555"/&gt;&lt;w:sz w:val="26"/&gt;&lt;/w:rPr&gt;&lt;w:t xml:space="preserve"&gt;Project 1: Designing Advanced Embedded Software Systems&lt;/w:t&gt;&lt;/w:r&gt;</w:t>
      </w:r>
    </w:p>
    <w:p>
      <w:pPr>
        <w:jc w:val="center"/>
        <w:spacing w:before="0" w:after="60" w:line="240" w:lineRule="auto"/>
      </w:pPr>
      <w:r>
        <w:rPr>
          <w:rFonts w:ascii="Calibri" w:hAnsi="Calibri" w:cs="Calibri"/>
          <w:sz w:val="20"/>
        </w:rPr>
        <w:t xml:space="preserve">&lt;w:r&gt;&lt;w:rPr&gt;&lt;w:rFonts w:ascii="Calibri" w:hAnsi="Calibri" w:cs="Calibri"/&gt;&lt;w:b/&gt;&lt;w:color w:val="1F3864"/&gt;&lt;w:sz w:val="60"/&gt;&lt;/w:rPr&gt;&lt;w:t xml:space="preserve"&gt;Group Project Final Report&lt;/w:t&gt;&lt;/w:r&gt;</w:t>
      </w:r>
    </w:p>
    <w:p>
      <w:pPr>
        <w:jc w:val="center"/>
        <w:spacing w:before="0" w:after="500" w:line="240" w:lineRule="auto"/>
      </w:pPr>
      <w:r>
        <w:rPr>
          <w:rFonts w:ascii="Calibri" w:hAnsi="Calibri" w:cs="Calibri"/>
          <w:sz w:val="20"/>
        </w:rPr>
        <w:t xml:space="preserve">&lt;w:r&gt;&lt;w:rPr&gt;&lt;w:rFonts w:ascii="Calibri" w:hAnsi="Calibri" w:cs="Calibri"/&gt;&lt;w:b/&gt;&lt;w:color w:val="2E5395"/&gt;&lt;w:sz w:val="30"/&gt;&lt;/w:rPr&gt;&lt;w:t xml:space="preserve"&gt;Advantech Extended Automated Bottling System (EABS) with Purchase Order System (POS)&lt;/w:t&gt;&lt;/w:r&gt;</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2200"/>
        <w:gridCol w:w="6826"/>
      </w:tblGrid>
      <w:tr>
        <w:trPr>
          <w:tblHeader/>
        </w:trPr>
        <w:tc>
          <w:tcPr>
            <w:tcW w:w="2200" w:type="dxa"/>
            <w:shd w:val="clear" w:color="auto" w:fill="1F3864"/>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w:cs="Calibri"/&gt;&lt;w:b/&gt;&lt;w:color w:val="FFFFFF"/&gt;&lt;w:sz w:val="19.0"/&gt;&lt;/w:rPr&gt;&lt;w:t xml:space="preserve"&gt;Team&lt;/w:t&gt;&lt;/w:r&gt;</w:t>
            </w:r>
          </w:p>
        </w:tc>
        <w:tc>
          <w:tcPr>
            <w:tcW w:w="6826" w:type="dxa"/>
            <w:shd w:val="clear" w:color="auto" w:fill="1F3864"/>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w:cs="Calibri"/&gt;&lt;w:b/&gt;&lt;w:color w:val="FFFFFF"/&gt;&lt;w:sz w:val="19.0"/&gt;&lt;/w:rPr&gt;&lt;w:t xml:space="preserve"&gt;Detail&lt;/w:t&gt;&lt;/w:r&gt;</w:t>
            </w:r>
          </w:p>
        </w:tc>
      </w:tr>
      <w:tr>
        <w:tc>
          <w:tcPr>
            <w:tcW w:w="22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xml:space="preserve"&gt;Group&lt;/w:t&gt;&lt;/w:r&gt;</w:t>
            </w:r>
          </w:p>
        </w:tc>
        <w:tc>
          <w:tcPr>
            <w:tcW w:w="68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xml:space="preserve"&gt;Group 7&lt;/w:t&gt;&lt;/w:r&gt;</w:t>
            </w:r>
          </w:p>
        </w:tc>
      </w:tr>
      <w:tr>
        <w:tc>
          <w:tcPr>
            <w:tcW w:w="22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xml:space="preserve"&gt;Milestone&lt;/w:t&gt;&lt;/w:r&gt;</w:t>
            </w:r>
          </w:p>
        </w:tc>
        <w:tc>
          <w:tcPr>
            <w:tcW w:w="68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xml:space="preserve"&gt;Milestone 2 — Final Design (Week 7)&lt;/w:t&gt;&lt;/w:r&gt;</w:t>
            </w:r>
          </w:p>
        </w:tc>
      </w:tr>
      <w:tr>
        <w:tc>
          <w:tcPr>
            <w:tcW w:w="22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xml:space="preserve"&gt;Team members&lt;/w:t&gt;&lt;/w:r&gt;</w:t>
            </w:r>
          </w:p>
        </w:tc>
        <w:tc>
          <w:tcPr>
            <w:tcW w:w="68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xml:space="preserve"&gt;Zhiyuan Fu (zfu276) — Coordinator, Safety Monitor, IP persistence &amp;amp; POS&lt;/w:t&gt;&lt;/w:r&gt;</w:t>
            </w:r>
          </w:p>
        </w:tc>
      </w:tr>
      <w:tr>
        <w:tc>
          <w:tcPr>
            <w:tcW w:w="22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xml:space="preserve"&gt;&lt;/w:t&gt;&lt;/w:r&gt;</w:t>
            </w:r>
          </w:p>
        </w:tc>
        <w:tc>
          <w:tcPr>
            <w:tcW w:w="68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xml:space="preserve"&gt;Eric [surname/UPI — to confirm] — Finishing stations, workpiece tracking, GUI&lt;/w:t&gt;&lt;/w:r&gt;</w:t>
            </w:r>
          </w:p>
        </w:tc>
      </w:tr>
      <w:tr>
        <w:tc>
          <w:tcPr>
            <w:tcW w:w="22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xml:space="preserve"&gt;&lt;/w:t&gt;&lt;/w:r&gt;</w:t>
            </w:r>
          </w:p>
        </w:tc>
        <w:tc>
          <w:tcPr>
            <w:tcW w:w="68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xml:space="preserve"&gt;Tonny [surname/UPI — to confirm] — Loader, conveyor, rotary table, filler&lt;/w:t&gt;&lt;/w:r&gt;</w:t>
            </w:r>
          </w:p>
        </w:tc>
      </w:tr>
      <w:tr>
        <w:tc>
          <w:tcPr>
            <w:tcW w:w="22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xml:space="preserve"&gt;&lt;/w:t&gt;&lt;/w:r&gt;</w:t>
            </w:r>
          </w:p>
        </w:tc>
        <w:tc>
          <w:tcPr>
            <w:tcW w:w="68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xml:space="preserve"&gt;Tony [surname/UPI — to confirm] — POS conceptual design (see § 11)&lt;/w:t&gt;&lt;/w:r&gt;</w:t>
            </w:r>
          </w:p>
        </w:tc>
      </w:tr>
      <w:tr>
        <w:tc>
          <w:tcPr>
            <w:tcW w:w="22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xml:space="preserve"&gt;Repository&lt;/w:t&gt;&lt;/w:r&gt;</w:t>
            </w:r>
          </w:p>
        </w:tc>
        <w:tc>
          <w:tcPr>
            <w:tcW w:w="68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xml:space="preserve"&gt;704GP1 (git) — branch zhiyuan-ip-integration / integration&lt;/w:t&gt;&lt;/w:r&gt;</w:t>
            </w:r>
          </w:p>
        </w:tc>
      </w:tr>
    </w:tbl>
    <w:p>
      <w:pPr>
        <w:spacing w:before="0" w:after="120" w:line="240" w:lineRule="auto"/>
      </w:pPr>
      <w:r>
        <w:rPr>
          <w:rFonts w:ascii="Calibri" w:hAnsi="Calibri" w:cs="Calibri"/>
          <w:sz w:val="20"/>
        </w:rPr>
        <w:t xml:space="preserve">&lt;w:r&gt;&lt;w:rPr&gt;&lt;w:rFonts w:ascii="Calibri" w:hAnsi="Calibri" w:cs="Calibri"/&gt;&lt;w:i/&gt;&lt;w:color w:val="8A6D00"/&gt;&lt;w:sz w:val="18"/&gt;&lt;/w:rPr&gt;&lt;w:t xml:space="preserve"&gt;Placeholders marked "to confirm" should be filled in with full names and student UPIs before submission — this report was drafted from the codebase and git history, which only reliably identifies authors by first name/git handle.&lt;/w:t&gt;&lt;/w:r&gt;</w:t>
      </w:r>
    </w:p>
    <w:p>
      <w:r>
        <w:br w:type="page"/>
      </w:r>
    </w:p>
    <w:p>
      <w:pPr>
        <w:pStyle w:val="Heading1"/>
        <w:keepNext/>
        <w:pBdr>
          <w:bottom w:val="single" w:sz="6" w:space="4" w:color="999999"/>
        </w:pBdr>
        <w:spacing w:before="280" w:after="120" w:line="240" w:lineRule="auto"/>
      </w:pPr>
      <w:r>
        <w:rPr>
          <w:rFonts w:ascii="Calibri" w:hAnsi="Calibri" w:cs="Calibri"/>
          <w:sz w:val="20"/>
        </w:rPr>
        <w:t xml:space="preserve">&lt;w:r&gt;&lt;w:rPr&gt;&lt;w:rFonts w:ascii="Calibri" w:hAnsi="Calibri" w:cs="Calibri"/&gt;&lt;w:b/&gt;&lt;w:color w:val="1F3864"/&gt;&lt;w:sz w:val="32"/&gt;&lt;/w:rPr&gt;&lt;w:t xml:space="preserve"&gt;Executive Summary&lt;/w:t&gt;&lt;/w:r&gt;</w:t>
      </w:r>
    </w:p>
    <w:p>
      <w:pPr>
        <w:spacing w:before="0" w:after="200" w:line="240" w:lineRule="auto"/>
      </w:pPr>
      <w:r>
        <w:rPr>
          <w:rFonts w:ascii="Calibri" w:hAnsi="Calibri" w:cs="Calibri"/>
          <w:sz w:val="20"/>
        </w:rPr>
        <w:t xml:space="preserve">This report documents Group 7’s final design and implementation of the Extended Automated Bottling System (EABS) and its integrated Purchase Order System (POS), built in SystemJ for COMPSYS 704 Project 1. The group adopted a centralised coordinator architecture: a single SystemJ clock domain, IntegratedCoordinator, arbitrates eight intelligent-machine controllers (bottle loader, conveyor, six-position rotary table, two-liquid filler, lid loader, capper, labeller, unloader), a Safety Monitor clock domain, and a Batch Manager that is now backed by a real, persistent Purchase Order System rather than a scripted test harness. Three individual projects (IPs) extend this core: digital-twin workpiece tracking with recipe-deviation detection, a persistence layer for the POS with SQLite-backed order/batch/fault records, and a safety-recovery protocol. The most recent addition, and the final piece described in this report, replaces the console-based order-entry test tool with a proper Java Swing purchase-order GUI (Place Order / Track Order), so the POS finally satisfies the brief’s requirement of a system customers interact with directly rather than a developer console. The system was verified through model unit tests, a scripted real-device fault harness, and end-to-end runs demonstrating normal production, cross-order batch consolidation, machine-fault handling, and recovery from an abrupt power loss.</w:t>
      </w:r>
    </w:p>
    <w:p>
      <w:pPr>
        <w:pStyle w:val="Heading1"/>
        <w:keepNext/>
        <w:pBdr>
          <w:bottom w:val="single" w:sz="6" w:space="4" w:color="999999"/>
        </w:pBdr>
        <w:spacing w:before="280" w:after="120" w:line="240" w:lineRule="auto"/>
      </w:pPr>
      <w:r>
        <w:rPr>
          <w:rFonts w:ascii="Calibri" w:hAnsi="Calibri" w:cs="Calibri"/>
          <w:sz w:val="20"/>
        </w:rPr>
        <w:t xml:space="preserve">&lt;w:r&gt;&lt;w:rPr&gt;&lt;w:rFonts w:ascii="Calibri" w:hAnsi="Calibri" w:cs="Calibri"/&gt;&lt;w:b/&gt;&lt;w:color w:val="1F3864"/&gt;&lt;w:sz w:val="32"/&gt;&lt;/w:rPr&gt;&lt;w:t xml:space="preserve"&gt;1. Introduction&lt;/w:t&gt;&lt;/w:r&gt;</w:t>
      </w:r>
    </w:p>
    <w:p>
      <w:pPr>
        <w:spacing w:before="0" w:after="140" w:line="240" w:lineRule="auto"/>
      </w:pPr>
      <w:r>
        <w:rPr>
          <w:rFonts w:ascii="Calibri" w:hAnsi="Calibri" w:cs="Calibri"/>
          <w:sz w:val="20"/>
        </w:rPr>
        <w:t xml:space="preserve">Advantech is expanding its automated bottling capability with a brand-new Automated Bottling System (ABS) that automates the full cycle from placing an empty bottle on the input conveyor to delivering a sealed, labelled bottle at the output. The brief (COMPSYS 704-2026 Project 1 GP and IP brief, revised 2026) asks design teams to (a) specify and build a SystemJ simulation model of the core ABS and its constituent intelligent machines, (b) integrate a Purchase Order System (POS) that accepts customer orders and launches production automatically, and (c) extend the core system with individually-owned enhancements (Individual Projects, IPs) such as digital twins, persistence, and fault tolerance. Sections 4.1 and 4.2 of the brief explicitly state that "the POS System will be considered a part of the core ABS", which this report treats as a firm requirement rather than an optional extension: the group’s POS is not a stub, it is backed by a real relational database and, as of this final milestone, a graphical interface a customer would actually use.</w:t>
      </w:r>
    </w:p>
    <w:p>
      <w:pPr>
        <w:spacing w:before="0" w:after="140" w:line="240" w:lineRule="auto"/>
      </w:pPr>
      <w:r>
        <w:rPr>
          <w:rFonts w:ascii="Calibri" w:hAnsi="Calibri" w:cs="Calibri"/>
          <w:sz w:val="20"/>
        </w:rPr>
        <w:t xml:space="preserve">Group 7 divided the work along the natural machine/production boundary shown in the brief’s own Figure 3 (System Coordinator/Orchestrator over per-machine Controller/Plant pairs). Tonny modelled the four physically simulated stations that move and fill a bottle (loader, conveyor, rotary table, two-liquid filler); Eric modelled the four "finishing" stations that complete a bottle (lid loader, capper, labeller, unloader) together with the workpiece-tracking/digital-twin layer and the live production GUI; Zhiyuan designed and implemented the central IntegratedCoordinator, the Safety Monitor, and — as an individual project that has since been folded back into the group deliverable — the persistence-backed POS, including the Swing GUI described in § 8. Tony’s original remit was the conceptual design of the POS/Batch Manager interface; that specification (the ACTIVATE/BatchDrained signal contract used throughout this report) was carried into the implementation described here, with implementation ownership settled within the group as above (see § 11 for the full task-allocation table, which the group should confirm before submission).</w:t>
      </w:r>
    </w:p>
    <w:p>
      <w:pPr>
        <w:spacing w:before="0" w:after="160" w:line="240" w:lineRule="auto"/>
      </w:pPr>
      <w:r>
        <w:rPr>
          <w:rFonts w:ascii="Calibri" w:hAnsi="Calibri" w:cs="Calibri"/>
          <w:sz w:val="20"/>
        </w:rPr>
        <w:t xml:space="preserve">The remainder of this report is organised as follows. § 2 gives the overall final-design architecture. § 3 describes the IntegratedCoordinator’s control logic in detail. § 4 documents every station controller/plant model. § 5 covers workpiece tracking and the digital twin. § 6 covers the Safety Monitor and recovery protocol. § 7 and § 8 cover the POS: its persistence schema and Batch Manager logic, and the new graphical front end respectively. § 9 covers fault handling and power-loss recovery. § 10 is the compendium of deviations from the initial specification. § 11 lists task allocation. § 12 is the user guide. § 13 concludes.</w:t>
      </w:r>
    </w:p>
    <w:p>
      <w:pPr>
        <w:pStyle w:val="Heading1"/>
        <w:keepNext/>
        <w:pBdr>
          <w:bottom w:val="single" w:sz="6" w:space="4" w:color="999999"/>
        </w:pBdr>
        <w:spacing w:before="280" w:after="120" w:line="240" w:lineRule="auto"/>
      </w:pPr>
      <w:r>
        <w:rPr>
          <w:rFonts w:ascii="Calibri" w:hAnsi="Calibri" w:cs="Calibri"/>
          <w:sz w:val="20"/>
        </w:rPr>
        <w:t xml:space="preserve">&lt;w:r&gt;&lt;w:rPr&gt;&lt;w:rFonts w:ascii="Calibri" w:hAnsi="Calibri" w:cs="Calibri"/&gt;&lt;w:b/&gt;&lt;w:color w:val="1F3864"/&gt;&lt;w:sz w:val="32"/&gt;&lt;/w:rPr&gt;&lt;w:t xml:space="preserve"&gt;2. Final Design — System Architecture&lt;/w:t&gt;&lt;/w:r&gt;</w:t>
      </w:r>
    </w:p>
    <w:p>
      <w:pPr>
        <w:spacing w:before="0" w:after="120" w:line="240" w:lineRule="auto"/>
      </w:pPr>
      <w:r>
        <w:rPr>
          <w:rFonts w:ascii="Calibri" w:hAnsi="Calibri" w:cs="Calibri"/>
          <w:sz w:val="20"/>
        </w:rPr>
        <w:t xml:space="preserve">The group chose a centralised coordinator architecture over a fully decentralised one. A single IntegratedCoordinator instance owns all cross-machine sequencing decisions — which station is dispatched next, when the rotary table indexes, when a batch is complete — while each station’s own Controller/Plant pair remains entirely local: it only knows how to execute one dispatched job and report back DONE or FAULT. This mirrors the brief’s Figure 3 pattern directly and was preferred over a distributed/negotiated design because the physical line has a genuinely global constraint (one shared six-position rotary table, one shared recipe/dose pair per batch) that is much simpler to enforce from one authority than to negotiate between eight independent controllers. Figure 1 shows the resulting layered architecture.</w:t>
      </w:r>
    </w:p>
    <w:p>
      <w:pPr>
        <w:jc w:val="center"/>
        <w:spacing w:before="0" w:after="220" w:line="240" w:lineRule="auto"/>
      </w:pPr>
      <w:r>
        <w:rPr>
          <w:rFonts w:ascii="Calibri" w:hAnsi="Calibri" w:cs="Calibri"/>
          <w:sz w:val="20"/>
        </w:rPr>
        <w:t xml:space="preserve">&lt;w:r&gt;&lt;w:rPr&gt;&lt;w:rFonts w:ascii="Calibri" w:hAnsi="Calibri" w:cs="Calibri"/&gt;&lt;w:i/&gt;&lt;w:color w:val="555555"/&gt;&lt;w:sz w:val="19.0"/&gt;&lt;/w:rPr&gt;&lt;w:t xml:space="preserve"&gt;Figure 1. Final system architecture&lt;/w:t&gt;&lt;/w:r&gt;</w:t>
      </w:r>
    </w:p>
    <w:tbl>
      <w:tblPr>
        <w:tblW w:w="9026" w:type="dxa"/>
        <w:tblBorders>
          <w:top w:val="single" w:sz="8" w:color="C9822B"/>
          <w:left w:val="single" w:sz="8" w:color="C9822B"/>
          <w:bottom w:val="single" w:sz="8" w:color="C9822B"/>
          <w:right w:val="single" w:sz="8" w:color="C9822B"/>
          <w:insideH w:val="single" w:sz="8" w:color="C9822B"/>
          <w:insideV w:val="single" w:sz="8" w:color="C9822B"/>
        </w:tblBorders>
        <w:tblLayout w:type="fixed"/>
      </w:tblPr>
      <w:tblGrid>
        <w:gridCol w:w="9026"/>
      </w:tblGrid>
      <w:tr>
        <w:trPr/>
        <w:tc>
          <w:tcPr>
            <w:tcW w:w="9026" w:type="dxa"/>
            <w:shd w:val="clear" w:color="auto" w:fill="FDEBD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xml:space="preserve"&gt;Purchase Order System (POS)&lt;/w:t&gt;&lt;/w:r&gt;</w:t>
            </w:r>
          </w:p>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xml:space="preserve"&gt;Console test harness  •  Java Swing GUI (§ 8)&lt;/w:t&gt;&lt;/w:r&gt;</w:t>
            </w:r>
          </w:p>
        </w:tc>
      </w:tr>
    </w:tbl>
    <w:p>
      <w:pPr>
        <w:jc w:val="center"/>
        <w:spacing w:before="60" w:after="100" w:line="240" w:lineRule="auto"/>
      </w:pPr>
      <w:r>
        <w:rPr>
          <w:rFonts w:ascii="Calibri" w:hAnsi="Calibri" w:cs="Calibri"/>
          <w:sz w:val="20"/>
        </w:rPr>
        <w:t xml:space="preserve">&lt;w:r&gt;&lt;w:rPr&gt;&lt;w:rFonts w:ascii="Calibri" w:hAnsi="Calibri" w:cs="Calibri"/&gt;&lt;w:b/&gt;&lt;w:color w:val="4472C4"/&gt;&lt;w:sz w:val="26"/&gt;&lt;/w:rPr&gt;&lt;w:t xml:space="preserve"&gt;↓  SubmitOrder / go / ACTIVATE&lt;/w:t&gt;&lt;/w:r&gt;</w:t>
      </w:r>
    </w:p>
    <w:tbl>
      <w:tblPr>
        <w:tblW w:w="9026" w:type="dxa"/>
        <w:tblBorders>
          <w:top w:val="single" w:sz="8" w:color="6A4C93"/>
          <w:left w:val="single" w:sz="8" w:color="6A4C93"/>
          <w:bottom w:val="single" w:sz="8" w:color="6A4C93"/>
          <w:right w:val="single" w:sz="8" w:color="6A4C93"/>
          <w:insideH w:val="single" w:sz="8" w:color="6A4C93"/>
          <w:insideV w:val="single" w:sz="8" w:color="6A4C93"/>
        </w:tblBorders>
        <w:tblLayout w:type="fixed"/>
      </w:tblPr>
      <w:tblGrid>
        <w:gridCol w:w="9026"/>
      </w:tblGrid>
      <w:tr>
        <w:trPr/>
        <w:tc>
          <w:tcPr>
            <w:tcW w:w="9026" w:type="dxa"/>
            <w:shd w:val="clear" w:color="auto" w:fill="E2D9F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xml:space="preserve"&gt;Persistence Layer — SQLite&lt;/w:t&gt;&lt;/w:r&gt;</w:t>
            </w:r>
          </w:p>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xml:space="preserve"&gt;Recipes · Orders · Batches · OrderBatches · BottleEvents · Faults&lt;/w:t&gt;&lt;/w:r&gt;</w:t>
            </w:r>
          </w:p>
        </w:tc>
      </w:tr>
    </w:tbl>
    <w:p>
      <w:pPr>
        <w:jc w:val="center"/>
        <w:spacing w:before="60" w:after="100" w:line="240" w:lineRule="auto"/>
      </w:pPr>
      <w:r>
        <w:rPr>
          <w:rFonts w:ascii="Calibri" w:hAnsi="Calibri" w:cs="Calibri"/>
          <w:sz w:val="20"/>
        </w:rPr>
        <w:t xml:space="preserve">&lt;w:r&gt;&lt;w:rPr&gt;&lt;w:rFonts w:ascii="Calibri" w:hAnsi="Calibri" w:cs="Calibri"/&gt;&lt;w:b/&gt;&lt;w:color w:val="4472C4"/&gt;&lt;w:sz w:val="26"/&gt;&lt;/w:rPr&gt;&lt;w:t xml:space="preserve"&gt;↓  ActivateBatch / BatchDrained&lt;/w:t&gt;&lt;/w:r&gt;</w:t>
      </w:r>
    </w:p>
    <w:tbl>
      <w:tblPr>
        <w:tblW w:w="9026" w:type="dxa"/>
        <w:tblBorders>
          <w:top w:val="single" w:sz="8" w:color="4472C4"/>
          <w:left w:val="single" w:sz="8" w:color="4472C4"/>
          <w:bottom w:val="single" w:sz="8" w:color="4472C4"/>
          <w:right w:val="single" w:sz="8" w:color="4472C4"/>
          <w:insideH w:val="single" w:sz="8" w:color="4472C4"/>
          <w:insideV w:val="single" w:sz="8" w:color="4472C4"/>
        </w:tblBorders>
        <w:tblLayout w:type="fixed"/>
      </w:tblPr>
      <w:tblGrid>
        <w:gridCol w:w="4513"/>
        <w:gridCol w:w="4513"/>
      </w:tblGrid>
      <w:tr>
        <w:trPr/>
        <w:tc>
          <w:tcPr>
            <w:tcW w:w="4513"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xml:space="preserve"&gt;IntegratedCoordinator&lt;/w:t&gt;&lt;/w:r&gt;</w:t>
            </w:r>
          </w:p>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xml:space="preserve"&gt;(System Orchestrator)&lt;/w:t&gt;&lt;/w:r&gt;</w:t>
            </w:r>
          </w:p>
        </w:tc>
        <w:tc>
          <w:tcPr>
            <w:tcW w:w="4513"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xml:space="preserve"&gt;SafetyMonitorModel&lt;/w:t&gt;&lt;/w:r&gt;</w:t>
            </w:r>
          </w:p>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xml:space="preserve"&gt;(hazard / clear / reset)&lt;/w:t&gt;&lt;/w:r&gt;</w:t>
            </w:r>
          </w:p>
        </w:tc>
      </w:tr>
    </w:tbl>
    <w:p>
      <w:pPr>
        <w:jc w:val="center"/>
        <w:spacing w:before="60" w:after="100" w:line="240" w:lineRule="auto"/>
      </w:pPr>
      <w:r>
        <w:rPr>
          <w:rFonts w:ascii="Calibri" w:hAnsi="Calibri" w:cs="Calibri"/>
          <w:sz w:val="20"/>
        </w:rPr>
        <w:t xml:space="preserve">&lt;w:r&gt;&lt;w:rPr&gt;&lt;w:rFonts w:ascii="Calibri" w:hAnsi="Calibri" w:cs="Calibri"/&gt;&lt;w:b/&gt;&lt;w:color w:val="4472C4"/&gt;&lt;w:sz w:val="26"/&gt;&lt;/w:rPr&gt;&lt;w:t xml:space="preserve"&gt;↓  START / ACK / DONE / FAULT (per station)&lt;/w:t&gt;&lt;/w:r&gt;</w:t>
      </w:r>
    </w:p>
    <w:tbl>
      <w:tblPr>
        <w:tblW w:w="9026" w:type="dxa"/>
        <w:tblBorders>
          <w:top w:val="single" w:sz="8" w:color="6AA84F"/>
          <w:left w:val="single" w:sz="8" w:color="6AA84F"/>
          <w:bottom w:val="single" w:sz="8" w:color="6AA84F"/>
          <w:right w:val="single" w:sz="8" w:color="6AA84F"/>
          <w:insideH w:val="single" w:sz="8" w:color="6AA84F"/>
          <w:insideV w:val="single" w:sz="8" w:color="6AA84F"/>
        </w:tblBorders>
        <w:tblLayout w:type="fixed"/>
      </w:tblPr>
      <w:tblGrid>
        <w:gridCol w:w="2256"/>
        <w:gridCol w:w="2256"/>
        <w:gridCol w:w="2256"/>
        <w:gridCol w:w="2258"/>
      </w:tblGrid>
      <w:tr>
        <w:trPr/>
        <w:tc>
          <w:tcPr>
            <w:tcW w:w="2256"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xml:space="preserve"&gt;Loader&lt;/w:t&gt;&lt;/w:r&gt;</w:t>
            </w:r>
          </w:p>
        </w:tc>
        <w:tc>
          <w:tcPr>
            <w:tcW w:w="2256"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xml:space="preserve"&gt;Conveyor&lt;/w:t&gt;&lt;/w:r&gt;</w:t>
            </w:r>
          </w:p>
        </w:tc>
        <w:tc>
          <w:tcPr>
            <w:tcW w:w="2256"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xml:space="preserve"&gt;Rotary&lt;/w:t&gt;&lt;/w:r&gt;</w:t>
            </w:r>
          </w:p>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xml:space="preserve"&gt;Table&lt;/w:t&gt;&lt;/w:r&gt;</w:t>
            </w:r>
          </w:p>
        </w:tc>
        <w:tc>
          <w:tcPr>
            <w:tcW w:w="2258"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xml:space="preserve"&gt;Filler&lt;/w:t&gt;&lt;/w:r&gt;</w:t>
            </w:r>
          </w:p>
        </w:tc>
      </w:tr>
    </w:tbl>
    <w:tbl>
      <w:tblPr>
        <w:tblW w:w="9026" w:type="dxa"/>
        <w:tblBorders>
          <w:top w:val="single" w:sz="8" w:color="6AA84F"/>
          <w:left w:val="single" w:sz="8" w:color="6AA84F"/>
          <w:bottom w:val="single" w:sz="8" w:color="6AA84F"/>
          <w:right w:val="single" w:sz="8" w:color="6AA84F"/>
          <w:insideH w:val="single" w:sz="8" w:color="6AA84F"/>
          <w:insideV w:val="single" w:sz="8" w:color="6AA84F"/>
        </w:tblBorders>
        <w:tblLayout w:type="fixed"/>
      </w:tblPr>
      <w:tblGrid>
        <w:gridCol w:w="2256"/>
        <w:gridCol w:w="2256"/>
        <w:gridCol w:w="2256"/>
        <w:gridCol w:w="2258"/>
      </w:tblGrid>
      <w:tr>
        <w:trPr/>
        <w:tc>
          <w:tcPr>
            <w:tcW w:w="2256"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xml:space="preserve"&gt;Lid Loader&lt;/w:t&gt;&lt;/w:r&gt;</w:t>
            </w:r>
          </w:p>
        </w:tc>
        <w:tc>
          <w:tcPr>
            <w:tcW w:w="2256"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xml:space="preserve"&gt;Capper&lt;/w:t&gt;&lt;/w:r&gt;</w:t>
            </w:r>
          </w:p>
        </w:tc>
        <w:tc>
          <w:tcPr>
            <w:tcW w:w="2256"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xml:space="preserve"&gt;Labeller&lt;/w:t&gt;&lt;/w:r&gt;</w:t>
            </w:r>
          </w:p>
        </w:tc>
        <w:tc>
          <w:tcPr>
            <w:tcW w:w="2258"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xml:space="preserve"&gt;Unloader&lt;/w:t&gt;&lt;/w:r&gt;</w:t>
            </w:r>
          </w:p>
        </w:tc>
      </w:tr>
    </w:tbl>
    <w:p>
      <w:pPr>
        <w:jc w:val="center"/>
        <w:spacing w:before="60" w:after="100" w:line="240" w:lineRule="auto"/>
      </w:pPr>
      <w:r>
        <w:rPr>
          <w:rFonts w:ascii="Calibri" w:hAnsi="Calibri" w:cs="Calibri"/>
          <w:sz w:val="20"/>
        </w:rPr>
        <w:t xml:space="preserve">&lt;w:r&gt;&lt;w:rPr&gt;&lt;w:rFonts w:ascii="Calibri" w:hAnsi="Calibri" w:cs="Calibri"/&gt;&lt;w:b/&gt;&lt;w:color w:val="4472C4"/&gt;&lt;w:sz w:val="26"/&gt;&lt;/w:rPr&gt;&lt;w:t xml:space="preserve"&gt;↓  sensor / actuator signals&lt;/w:t&gt;&lt;/w:r&gt;</w:t>
      </w:r>
    </w:p>
    <w:tbl>
      <w:tblPr>
        <w:tblW w:w="9026" w:type="dxa"/>
        <w:tblBorders>
          <w:top w:val="single" w:sz="8" w:color="888888"/>
          <w:left w:val="single" w:sz="8" w:color="888888"/>
          <w:bottom w:val="single" w:sz="8" w:color="888888"/>
          <w:right w:val="single" w:sz="8" w:color="888888"/>
          <w:insideH w:val="single" w:sz="8" w:color="888888"/>
          <w:insideV w:val="single" w:sz="8" w:color="888888"/>
        </w:tblBorders>
        <w:tblLayout w:type="fixed"/>
      </w:tblPr>
      <w:tblGrid>
        <w:gridCol w:w="9026"/>
      </w:tblGrid>
      <w:tr>
        <w:trPr/>
        <w:tc>
          <w:tcPr>
            <w:tcW w:w="9026" w:type="dxa"/>
            <w:shd w:val="clear" w:color="auto" w:fill="F4F4F4"/>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xml:space="preserve"&gt;Plant Models — simulated sensors and actuators, one per station&lt;/w:t&gt;&lt;/w:r&gt;</w:t>
            </w:r>
          </w:p>
        </w:tc>
      </w:tr>
    </w:tbl>
    <w:p>
      <w:pPr>
        <w:spacing w:before="0" w:after="200" w:line="240" w:lineRule="auto"/>
      </w:pPr>
      <w:r>
        <w:rPr>
          <w:rFonts w:ascii="Calibri" w:hAnsi="Calibri" w:cs="Calibri"/>
          <w:color w:val="444444"/>
          <w:sz w:val="19.0"/>
        </w:rPr>
        <w:t xml:space="preserve">Side channel (not shown as a layer above): every confirmed station transition is also published to a package-private </w:t>
      </w:r>
      <w:r>
        <w:rPr>
          <w:rFonts w:ascii="Consolas" w:hAnsi="Consolas" w:cs="Consolas"/>
          <w:color w:val="1A1A1A"/>
          <w:sz w:val="19.0"/>
        </w:rPr>
        <w:t xml:space="preserve">TwinEventBus</w:t>
      </w:r>
      <w:r>
        <w:rPr>
          <w:rFonts w:ascii="Calibri" w:hAnsi="Calibri" w:cs="Calibri"/>
          <w:color w:val="444444"/>
          <w:sz w:val="19.0"/>
        </w:rPr>
        <w:t xml:space="preserve">, consumed by the Digital Twin Assembler and Deviation Detector (§ 5) and by Eric’s own production dashboard GUI — both are read-only observers and never feed decisions back into IntegratedCoordinator.</w:t>
      </w:r>
    </w:p>
    <w:p>
      <w:pPr>
        <w:pStyle w:val="Heading2"/>
        <w:keepNext/>
        <w:spacing w:before="160" w:after="120" w:line="240" w:lineRule="auto"/>
      </w:pPr>
      <w:r>
        <w:rPr>
          <w:rFonts w:ascii="Calibri" w:hAnsi="Calibri" w:cs="Calibri"/>
          <w:sz w:val="20"/>
        </w:rPr>
        <w:t xml:space="preserve">&lt;w:r&gt;&lt;w:rPr&gt;&lt;w:rFonts w:ascii="Calibri" w:hAnsi="Calibri" w:cs="Calibri"/&gt;&lt;w:b/&gt;&lt;w:color w:val="2E5395"/&gt;&lt;w:sz w:val="26"/&gt;&lt;/w:rPr&gt;&lt;w:t xml:space="preserve"&gt;Communication model&lt;/w:t&gt;&lt;/w:r&gt;</w:t>
      </w:r>
    </w:p>
    <w:p>
      <w:pPr>
        <w:spacing w:before="0" w:after="160" w:line="240" w:lineRule="auto"/>
      </w:pPr>
      <w:r>
        <w:rPr>
          <w:rFonts w:ascii="Calibri" w:hAnsi="Calibri" w:cs="Calibri"/>
          <w:sz w:val="20"/>
        </w:rPr>
        <w:t xml:space="preserve">All communication uses SystemJ’s two native primitives. Signals (broadcast, presence/value, visible only within one clock domain) carry the plain-Java "backing model" objects described in § 3.3. Channels (point-to-point, synchronous rendezvous) carry the flat pipe-delimited protocol strings between clock domains, e.g. the eight-field ACTIVATE frame (§ 7.2) between the Batch Manager clock domain and IntegratedCoordinator, and the per-station START/ACK/DONE/FAULT frames between IntegratedCoordinator and each station Controller. Every clock domain in this project follows the same internal shape, referred to throughout the codebase as "one Java object behind one signal": the SystemJ reactions themselves are kept deliberately thin (receive → call one Java method → send), and all real state and logic lives in a single plain Java object constructed once and threaded through every reaction via that one signal. This sidesteps a class of SystemJ compiler issues around plain variables crossing thread/abort boundaries, and it is also what makes the individual project work in § 7–§ 8 purely additive: a new batch source (IpBatchManagerModel) can be substituted for the original console one (BatchManagerModel) without IntegratedCoordinator itself changing at all.</w:t>
      </w:r>
    </w:p>
    <w:p>
      <w:pPr>
        <w:pStyle w:val="Heading1"/>
        <w:keepNext/>
        <w:pBdr>
          <w:bottom w:val="single" w:sz="6" w:space="4" w:color="999999"/>
        </w:pBdr>
        <w:spacing w:before="280" w:after="120" w:line="240" w:lineRule="auto"/>
      </w:pPr>
      <w:r>
        <w:rPr>
          <w:rFonts w:ascii="Calibri" w:hAnsi="Calibri" w:cs="Calibri"/>
          <w:sz w:val="20"/>
        </w:rPr>
        <w:t xml:space="preserve">&lt;w:r&gt;&lt;w:rPr&gt;&lt;w:rFonts w:ascii="Calibri" w:hAnsi="Calibri" w:cs="Calibri"/&gt;&lt;w:b/&gt;&lt;w:color w:val="1F3864"/&gt;&lt;w:sz w:val="32"/&gt;&lt;/w:rPr&gt;&lt;w:t xml:space="preserve"&gt;3. The IntegratedCoordinator: Control Logic&lt;/w:t&gt;&lt;/w:r&gt;</w:t>
      </w:r>
    </w:p>
    <w:p>
      <w:pPr>
        <w:spacing w:before="0" w:after="120" w:line="240" w:lineRule="auto"/>
      </w:pPr>
      <w:r>
        <w:rPr>
          <w:rFonts w:ascii="Calibri" w:hAnsi="Calibri" w:cs="Calibri"/>
          <w:sz w:val="20"/>
        </w:rPr>
        <w:t xml:space="preserve">IntegratedCoordinator is a finite-state machine driven once per SystemJ tick by a non-blocking tick() method (the class-level comment is explicit that "tick does not block" — all I/O to stations happens through the SystemJ reactions that call it, never inside it). Figure 2 shows the phase sequence for one admitted batch.</w:t>
      </w:r>
    </w:p>
    <w:p>
      <w:pPr>
        <w:jc w:val="center"/>
        <w:spacing w:before="0" w:after="220" w:line="240" w:lineRule="auto"/>
      </w:pPr>
      <w:r>
        <w:rPr>
          <w:rFonts w:ascii="Calibri" w:hAnsi="Calibri" w:cs="Calibri"/>
          <w:sz w:val="20"/>
        </w:rPr>
        <w:t xml:space="preserve">&lt;w:r&gt;&lt;w:rPr&gt;&lt;w:rFonts w:ascii="Calibri" w:hAnsi="Calibri" w:cs="Calibri"/&gt;&lt;w:i/&gt;&lt;w:color w:val="555555"/&gt;&lt;w:sz w:val="19.0"/&gt;&lt;/w:rPr&gt;&lt;w:t xml:space="preserve"&gt;Figure 2. Coordinator phase state machine&lt;/w:t&gt;&lt;/w:r&gt;</w:t>
      </w:r>
    </w:p>
    <w:tbl>
      <w:tblPr>
        <w:tblW w:w="9026" w:type="dxa"/>
        <w:tblBorders>
          <w:top w:val="single" w:sz="8" w:color="888888"/>
          <w:left w:val="single" w:sz="8" w:color="888888"/>
          <w:bottom w:val="single" w:sz="8" w:color="888888"/>
          <w:right w:val="single" w:sz="8" w:color="888888"/>
          <w:insideH w:val="single" w:sz="8" w:color="888888"/>
          <w:insideV w:val="single" w:sz="8" w:color="888888"/>
        </w:tblBorders>
        <w:tblLayout w:type="fixed"/>
      </w:tblPr>
      <w:tblGrid>
        <w:gridCol w:w="9026"/>
      </w:tblGrid>
      <w:tr>
        <w:trPr/>
        <w:tc>
          <w:tcPr>
            <w:tcW w:w="9026" w:type="dxa"/>
            <w:shd w:val="clear" w:color="auto" w:fill="EDEDED"/>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xml:space="preserve"&gt;WAIT_ORDER (idle)&lt;/w:t&gt;&lt;/w:r&gt;</w:t>
            </w:r>
          </w:p>
        </w:tc>
      </w:tr>
    </w:tbl>
    <w:p>
      <w:pPr>
        <w:jc w:val="center"/>
        <w:spacing w:before="60" w:after="100" w:line="240" w:lineRule="auto"/>
      </w:pPr>
      <w:r>
        <w:rPr>
          <w:rFonts w:ascii="Calibri" w:hAnsi="Calibri" w:cs="Calibri"/>
          <w:sz w:val="20"/>
        </w:rPr>
        <w:t xml:space="preserve">&lt;w:r&gt;&lt;w:rPr&gt;&lt;w:rFonts w:ascii="Calibri" w:hAnsi="Calibri" w:cs="Calibri"/&gt;&lt;w:b/&gt;&lt;w:color w:val="4472C4"/&gt;&lt;w:sz w:val="26"/&gt;&lt;/w:rPr&gt;&lt;w:t xml:space="preserve"&gt;↓  activate() — valid ACTIVATE frame&lt;/w:t&gt;&lt;/w:r&gt;</w:t>
      </w:r>
    </w:p>
    <w:tbl>
      <w:tblPr>
        <w:tblW w:w="9026" w:type="dxa"/>
        <w:tblBorders>
          <w:top w:val="single" w:sz="8" w:color="4472C4"/>
          <w:left w:val="single" w:sz="8" w:color="4472C4"/>
          <w:bottom w:val="single" w:sz="8" w:color="4472C4"/>
          <w:right w:val="single" w:sz="8" w:color="4472C4"/>
          <w:insideH w:val="single" w:sz="8" w:color="4472C4"/>
          <w:insideV w:val="single" w:sz="8" w:color="4472C4"/>
        </w:tblBorders>
        <w:tblLayout w:type="fixed"/>
      </w:tblPr>
      <w:tblGrid>
        <w:gridCol w:w="9026"/>
      </w:tblGrid>
      <w:tr>
        <w:trPr/>
        <w:tc>
          <w:tcPr>
            <w:tcW w:w="9026"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xml:space="preserve"&gt;DISPATCH — dispatch START to every station with work; admit next bottle if room&lt;/w:t&gt;&lt;/w:r&gt;</w:t>
            </w:r>
          </w:p>
        </w:tc>
      </w:tr>
    </w:tbl>
    <w:p>
      <w:pPr>
        <w:jc w:val="center"/>
        <w:spacing w:before="60" w:after="100" w:line="240" w:lineRule="auto"/>
      </w:pPr>
      <w:r>
        <w:rPr>
          <w:rFonts w:ascii="Calibri" w:hAnsi="Calibri" w:cs="Calibri"/>
          <w:sz w:val="20"/>
        </w:rPr>
        <w:t xml:space="preserve">&lt;w:r&gt;&lt;w:rPr&gt;&lt;w:rFonts w:ascii="Calibri" w:hAnsi="Calibri" w:cs="Calibri"/&gt;&lt;w:b/&gt;&lt;w:color w:val="4472C4"/&gt;&lt;w:sz w:val="26"/&gt;&lt;/w:rPr&gt;&lt;w:t xml:space="preserve"&gt;↓  all dispatched stations report&lt;/w:t&gt;&lt;/w:r&gt;</w:t>
      </w:r>
    </w:p>
    <w:tbl>
      <w:tblPr>
        <w:tblW w:w="9026" w:type="dxa"/>
        <w:tblBorders>
          <w:top w:val="single" w:sz="8" w:color="4472C4"/>
          <w:left w:val="single" w:sz="8" w:color="4472C4"/>
          <w:bottom w:val="single" w:sz="8" w:color="4472C4"/>
          <w:right w:val="single" w:sz="8" w:color="4472C4"/>
          <w:insideH w:val="single" w:sz="8" w:color="4472C4"/>
          <w:insideV w:val="single" w:sz="8" w:color="4472C4"/>
        </w:tblBorders>
        <w:tblLayout w:type="fixed"/>
      </w:tblPr>
      <w:tblGrid>
        <w:gridCol w:w="9026"/>
      </w:tblGrid>
      <w:tr>
        <w:trPr/>
        <w:tc>
          <w:tcPr>
            <w:tcW w:w="9026"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xml:space="preserve"&gt;WAIT_OPERATIONS — wait for the whole line to go quiet&lt;/w:t&gt;&lt;/w:r&gt;</w:t>
            </w:r>
          </w:p>
        </w:tc>
      </w:tr>
    </w:tbl>
    <w:p>
      <w:pPr>
        <w:jc w:val="center"/>
        <w:spacing w:before="60" w:after="100" w:line="240" w:lineRule="auto"/>
      </w:pPr>
      <w:r>
        <w:rPr>
          <w:rFonts w:ascii="Calibri" w:hAnsi="Calibri" w:cs="Calibri"/>
          <w:sz w:val="20"/>
        </w:rPr>
        <w:t xml:space="preserve">&lt;w:r&gt;&lt;w:rPr&gt;&lt;w:rFonts w:ascii="Calibri" w:hAnsi="Calibri" w:cs="Calibri"/&gt;&lt;w:b/&gt;&lt;w:color w:val="4472C4"/&gt;&lt;w:sz w:val="26"/&gt;&lt;/w:rPr&gt;&lt;w:t xml:space="preserve"&gt;↓  queue label→output move&lt;/w:t&gt;&lt;/w:r&gt;</w:t>
      </w:r>
    </w:p>
    <w:tbl>
      <w:tblPr>
        <w:tblW w:w="9026" w:type="dxa"/>
        <w:tblBorders>
          <w:top w:val="single" w:sz="8" w:color="4472C4"/>
          <w:left w:val="single" w:sz="8" w:color="4472C4"/>
          <w:bottom w:val="single" w:sz="8" w:color="4472C4"/>
          <w:right w:val="single" w:sz="8" w:color="4472C4"/>
          <w:insideH w:val="single" w:sz="8" w:color="4472C4"/>
          <w:insideV w:val="single" w:sz="8" w:color="4472C4"/>
        </w:tblBorders>
        <w:tblLayout w:type="fixed"/>
      </w:tblPr>
      <w:tblGrid>
        <w:gridCol w:w="9026"/>
      </w:tblGrid>
      <w:tr>
        <w:trPr/>
        <w:tc>
          <w:tcPr>
            <w:tcW w:w="9026"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xml:space="preserve"&gt;WAIT_OUTPUT_TRANSFER&lt;/w:t&gt;&lt;/w:r&gt;</w:t>
            </w:r>
          </w:p>
        </w:tc>
      </w:tr>
    </w:tbl>
    <w:p>
      <w:pPr>
        <w:jc w:val="center"/>
        <w:spacing w:before="60" w:after="100" w:line="240" w:lineRule="auto"/>
      </w:pPr>
      <w:r>
        <w:rPr>
          <w:rFonts w:ascii="Calibri" w:hAnsi="Calibri" w:cs="Calibri"/>
          <w:sz w:val="20"/>
        </w:rPr>
        <w:t xml:space="preserve">&lt;w:r&gt;&lt;w:rPr&gt;&lt;w:rFonts w:ascii="Calibri" w:hAnsi="Calibri" w:cs="Calibri"/&gt;&lt;w:b/&gt;&lt;w:color w:val="4472C4"/&gt;&lt;w:sz w:val="26"/&gt;&lt;/w:rPr&gt;&lt;w:t xml:space="preserve"&gt;↓  queue input→table move&lt;/w:t&gt;&lt;/w:r&gt;</w:t>
      </w:r>
    </w:p>
    <w:tbl>
      <w:tblPr>
        <w:tblW w:w="9026" w:type="dxa"/>
        <w:tblBorders>
          <w:top w:val="single" w:sz="8" w:color="4472C4"/>
          <w:left w:val="single" w:sz="8" w:color="4472C4"/>
          <w:bottom w:val="single" w:sz="8" w:color="4472C4"/>
          <w:right w:val="single" w:sz="8" w:color="4472C4"/>
          <w:insideH w:val="single" w:sz="8" w:color="4472C4"/>
          <w:insideV w:val="single" w:sz="8" w:color="4472C4"/>
        </w:tblBorders>
        <w:tblLayout w:type="fixed"/>
      </w:tblPr>
      <w:tblGrid>
        <w:gridCol w:w="9026"/>
      </w:tblGrid>
      <w:tr>
        <w:trPr/>
        <w:tc>
          <w:tcPr>
            <w:tcW w:w="9026"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xml:space="preserve"&gt;WAIT_INPUT_TRANSFER&lt;/w:t&gt;&lt;/w:r&gt;</w:t>
            </w:r>
          </w:p>
        </w:tc>
      </w:tr>
    </w:tbl>
    <w:p>
      <w:pPr>
        <w:jc w:val="center"/>
        <w:spacing w:before="60" w:after="100" w:line="240" w:lineRule="auto"/>
      </w:pPr>
      <w:r>
        <w:rPr>
          <w:rFonts w:ascii="Calibri" w:hAnsi="Calibri" w:cs="Calibri"/>
          <w:sz w:val="20"/>
        </w:rPr>
        <w:t xml:space="preserve">&lt;w:r&gt;&lt;w:rPr&gt;&lt;w:rFonts w:ascii="Calibri" w:hAnsi="Calibri" w:cs="Calibri"/&gt;&lt;w:b/&gt;&lt;w:color w:val="4472C4"/&gt;&lt;w:sz w:val="26"/&gt;&lt;/w:rPr&gt;&lt;w:t xml:space="preserve"&gt;↓  table occupied → rotate one 60° step&lt;/w:t&gt;&lt;/w:r&gt;</w:t>
      </w:r>
    </w:p>
    <w:tbl>
      <w:tblPr>
        <w:tblW w:w="9026" w:type="dxa"/>
        <w:tblBorders>
          <w:top w:val="single" w:sz="8" w:color="6AA84F"/>
          <w:left w:val="single" w:sz="8" w:color="6AA84F"/>
          <w:bottom w:val="single" w:sz="8" w:color="6AA84F"/>
          <w:right w:val="single" w:sz="8" w:color="6AA84F"/>
          <w:insideH w:val="single" w:sz="8" w:color="6AA84F"/>
          <w:insideV w:val="single" w:sz="8" w:color="6AA84F"/>
        </w:tblBorders>
        <w:tblLayout w:type="fixed"/>
      </w:tblPr>
      <w:tblGrid>
        <w:gridCol w:w="9026"/>
      </w:tblGrid>
      <w:tr>
        <w:trPr/>
        <w:tc>
          <w:tcPr>
            <w:tcW w:w="9026"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xml:space="preserve"&gt;WAIT_ALIGNMENT — rotary table indexing&lt;/w:t&gt;&lt;/w:r&gt;</w:t>
            </w:r>
          </w:p>
        </w:tc>
      </w:tr>
    </w:tbl>
    <w:p>
      <w:pPr>
        <w:jc w:val="center"/>
        <w:spacing w:before="60" w:after="100" w:line="240" w:lineRule="auto"/>
      </w:pPr>
      <w:r>
        <w:rPr>
          <w:rFonts w:ascii="Calibri" w:hAnsi="Calibri" w:cs="Calibri"/>
          <w:sz w:val="20"/>
        </w:rPr>
        <w:t xml:space="preserve">&lt;w:r&gt;&lt;w:rPr&gt;&lt;w:rFonts w:ascii="Calibri" w:hAnsi="Calibri" w:cs="Calibri"/&gt;&lt;w:b/&gt;&lt;w:color w:val="4472C4"/&gt;&lt;w:sz w:val="26"/&gt;&lt;/w:rPr&gt;&lt;w:t xml:space="preserve"&gt;↓  aligned() — back to DISPATCH, or DRAINED if quantity complete&lt;/w:t&gt;&lt;/w:r&gt;</w:t>
      </w:r>
    </w:p>
    <w:tbl>
      <w:tblPr>
        <w:tblW w:w="9026" w:type="dxa"/>
        <w:tblBorders>
          <w:top w:val="single" w:sz="6" w:color="C9A227"/>
          <w:left w:val="single" w:sz="6" w:color="C9A227"/>
          <w:bottom w:val="single" w:sz="6" w:color="C9A227"/>
          <w:right w:val="single" w:sz="6" w:color="C9A227"/>
        </w:tblBorders>
        <w:tblLayout w:type="fixed"/>
      </w:tblPr>
      <w:tblGrid>
        <w:gridCol w:w="9026"/>
      </w:tblGrid>
      <w:tr>
        <w:tc>
          <w:tcPr>
            <w:tcW w:w="9026" w:type="dxa"/>
            <w:shd w:val="clear" w:color="auto" w:fill="FFF3CD"/>
            <w:tcMar>
              <w:top w:w="100" w:type="dxa"/>
              <w:bottom w:w="100" w:type="dxa"/>
              <w:left w:w="140" w:type="dxa"/>
              <w:right w:w="140" w:type="dxa"/>
            </w:tcMar>
          </w:tcPr>
          <w:p>
            <w:pPr>
              <w:spacing w:before="0" w:after="0" w:line="240" w:lineRule="auto"/>
            </w:pPr>
            <w:r>
              <w:rPr>
                <w:rFonts w:ascii="Calibri" w:hAnsi="Calibri" w:cs="Calibri"/>
                <w:sz w:val="20"/>
              </w:rPr>
              <w:t xml:space="preserve">&lt;w:r&gt;&lt;w:rPr&gt;&lt;w:rFonts w:ascii="Calibri" w:hAnsi="Calibri" w:cs="Calibri"/&gt;&lt;w:i/&gt;&lt;w:color w:val="5C4A00"/&gt;&lt;w:sz w:val="19.0"/&gt;&lt;/w:rPr&gt;&lt;w:t xml:space="preserve"&gt;Any phase transitions unconditionally to HOLD on the first FAULT (station timeout, invalid result, archive failure, or safety hazard) or SAFETY_PERMIT_LOST. HOLD is absorbing: the coordinator never erases occupancy, fabricates completion, retries a bottle, or auto-resets. The single exception is the operator-driven reset() path described in § 6, and only for the safety-specific fault string.&lt;/w:t&gt;&lt;/w:r&gt;</w:t>
            </w:r>
          </w:p>
        </w:tc>
      </w:tr>
    </w:tbl>
    <w:p>
      <w:pPr>
        <w:pStyle w:val="Heading2"/>
        <w:keepNext/>
        <w:spacing w:before="160" w:after="120" w:line="240" w:lineRule="auto"/>
      </w:pPr>
      <w:r>
        <w:rPr>
          <w:rFonts w:ascii="Calibri" w:hAnsi="Calibri" w:cs="Calibri"/>
          <w:sz w:val="20"/>
        </w:rPr>
        <w:t xml:space="preserve">&lt;w:r&gt;&lt;w:rPr&gt;&lt;w:rFonts w:ascii="Calibri" w:hAnsi="Calibri" w:cs="Calibri"/&gt;&lt;w:b/&gt;&lt;w:color w:val="2E5395"/&gt;&lt;w:sz w:val="26"/&gt;&lt;/w:rPr&gt;&lt;w:t xml:space="preserve"&gt;Why three near-identical "wait" phases&lt;/w:t&gt;&lt;/w:r&gt;</w:t>
      </w:r>
    </w:p>
    <w:p>
      <w:pPr>
        <w:spacing w:before="0" w:after="140" w:line="240" w:lineRule="auto"/>
      </w:pPr>
      <w:r>
        <w:rPr>
          <w:rFonts w:ascii="Calibri" w:hAnsi="Calibri" w:cs="Calibri"/>
          <w:sz w:val="20"/>
        </w:rPr>
        <w:t xml:space="preserve">WAIT_OPERATIONS, WAIT_OUTPUT_TRANSFER and WAIT_INPUT_TRANSFER share the exact same guard, allReady() (every station in the whole line is idle with no outstanding job) — they are not three independent completion checks on different subsets of stations. They exist as three separate phases because each transition also queues exactly one more conveyor move before the next wait: WAIT_OPERATIONS frees the label slot and queues the labeller-bound move; WAIT_OUTPUT_TRANSFER queues the input-bound move onto the rotary table; WAIT_INPUT_TRANSFER then decides whether the table itself needs to rotate. This is a genuine sequential dependency — whether the input bottle can move onto the table depends on whether the output side has just been freed — so it cannot be collapsed into a single check without losing correctness.</w:t>
      </w:r>
    </w:p>
    <w:p>
      <w:pPr>
        <w:pStyle w:val="Heading2"/>
        <w:keepNext/>
        <w:spacing w:before="160" w:after="120" w:line="240" w:lineRule="auto"/>
      </w:pPr>
      <w:r>
        <w:rPr>
          <w:rFonts w:ascii="Calibri" w:hAnsi="Calibri" w:cs="Calibri"/>
          <w:sz w:val="20"/>
        </w:rPr>
        <w:t xml:space="preserve">&lt;w:r&gt;&lt;w:rPr&gt;&lt;w:rFonts w:ascii="Calibri" w:hAnsi="Calibri" w:cs="Calibri"/&gt;&lt;w:b/&gt;&lt;w:color w:val="2E5395"/&gt;&lt;w:sz w:val="26"/&gt;&lt;/w:rPr&gt;&lt;w:t xml:space="preserve"&gt;Validation and the ACTIVATE protocol&lt;/w:t&gt;&lt;/w:r&gt;</w:t>
      </w:r>
    </w:p>
    <w:p>
      <w:pPr>
        <w:spacing w:before="0" w:after="140" w:line="240" w:lineRule="auto"/>
      </w:pPr>
      <w:r>
        <w:rPr>
          <w:rFonts w:ascii="Calibri" w:hAnsi="Calibri" w:cs="Calibri"/>
          <w:sz w:val="20"/>
        </w:rPr>
        <w:t xml:space="preserve">activate() accepts exactly one flat frame, ACTIVATE|batchId|recipeId|productId|quantity|doseA|doseB|orderId, and rejects it (REJECTED|batchId|INVALID_BATCH_OR_RECIPE) unless every field passes format and range checks: batchId/recipeId/productId/orderId must each match [A-Za-z0-9_.-]{1,60} and batchId must not already be in a per-run usedBatches set; quantity must be in 1–10000; doseA and doseB must each be in 0–100 and sum to 1–100. The Coordinator deliberately treats batchId as an opaque, pre-decided string — it validates format and uniqueness only and has no opinion on where the value came from, which is what allows § 7’s database-assigned batch IDs and the original console harness’s hand-typed ones to use the identical protocol.</w:t>
      </w:r>
    </w:p>
    <w:p>
      <w:pPr>
        <w:spacing w:before="0" w:after="180" w:line="240" w:lineRule="auto"/>
      </w:pPr>
      <w:r>
        <w:rPr>
          <w:rFonts w:ascii="Calibri" w:hAnsi="Calibri" w:cs="Calibri"/>
          <w:sz w:val="20"/>
        </w:rPr>
        <w:t xml:space="preserve">The rotary table itself is a single shared resource with six physical positions (table[0..5], matching Eric’s Location enum ROTARY_P1..P6, with the filler at P2, lid loader at P3, capper at P4). One physical 60° index moves all six positions atomically — aligned() shifts the whole array by one slot in a single call, matching the real machine’s behaviour that a partial rotation is not observable.</w:t>
      </w:r>
    </w:p>
    <w:p>
      <w:pPr>
        <w:pStyle w:val="Heading1"/>
        <w:keepNext/>
        <w:pBdr>
          <w:bottom w:val="single" w:sz="6" w:space="4" w:color="999999"/>
        </w:pBdr>
        <w:spacing w:before="280" w:after="120" w:line="240" w:lineRule="auto"/>
      </w:pPr>
      <w:r>
        <w:rPr>
          <w:rFonts w:ascii="Calibri" w:hAnsi="Calibri" w:cs="Calibri"/>
          <w:sz w:val="20"/>
        </w:rPr>
        <w:t xml:space="preserve">&lt;w:r&gt;&lt;w:rPr&gt;&lt;w:rFonts w:ascii="Calibri" w:hAnsi="Calibri" w:cs="Calibri"/&gt;&lt;w:b/&gt;&lt;w:color w:val="1F3864"/&gt;&lt;w:sz w:val="32"/&gt;&lt;/w:rPr&gt;&lt;w:t xml:space="preserve"&gt;4. Station Controllers and Plant Models&lt;/w:t&gt;&lt;/w:r&gt;</w:t>
      </w:r>
    </w:p>
    <w:p>
      <w:pPr>
        <w:spacing w:before="0" w:after="120" w:line="240" w:lineRule="auto"/>
      </w:pPr>
      <w:r>
        <w:rPr>
          <w:rFonts w:ascii="Calibri" w:hAnsi="Calibri" w:cs="Calibri"/>
          <w:sz w:val="20"/>
        </w:rPr>
        <w:t xml:space="preserve">Every station follows the same Controller/Plant separation the brief introduces in Lab 3 on the Lid (Cap) Loader: the Controller parses a pipe-delimited command, drives boolean/integer/string channels to a Plant that models the physical sensors/actuators with realistic timing (waitl(500 ms) per physical step in this simulation), and reports back BUSY, then DONE with evidence or FAULT with a reason. Table 1 summarises all eight stations; detailed notes on the four IntegratedCoordinator-facing "finishing" stations and the four directly-modelled ones follow.</w:t>
      </w:r>
    </w:p>
    <w:p>
      <w:pPr>
        <w:jc w:val="center"/>
        <w:spacing w:before="0" w:after="220" w:line="240" w:lineRule="auto"/>
      </w:pPr>
      <w:r>
        <w:rPr>
          <w:rFonts w:ascii="Calibri" w:hAnsi="Calibri" w:cs="Calibri"/>
          <w:sz w:val="20"/>
        </w:rPr>
        <w:t xml:space="preserve">&lt;w:r&gt;&lt;w:rPr&gt;&lt;w:rFonts w:ascii="Calibri" w:hAnsi="Calibri" w:cs="Calibri"/&gt;&lt;w:i/&gt;&lt;w:color w:val="555555"/&gt;&lt;w:sz w:val="19.0"/&gt;&lt;/w:rPr&gt;&lt;w:t xml:space="preserve"&gt;Table 1. Station summary&lt;/w:t&gt;&lt;/w:r&gt;</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1500"/>
        <w:gridCol w:w="900"/>
        <w:gridCol w:w="4126"/>
        <w:gridCol w:w="2500"/>
      </w:tblGrid>
      <w:tr>
        <w:trPr>
          <w:tblHeader/>
        </w:trPr>
        <w:tc>
          <w:tcPr>
            <w:tcW w:w="15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w:cs="Calibri"/&gt;&lt;w:b/&gt;&lt;w:color w:val="FFFFFF"/&gt;&lt;w:sz w:val="19.0"/&gt;&lt;/w:rPr&gt;&lt;w:t xml:space="preserve"&gt;Station&lt;/w:t&gt;&lt;/w:r&gt;</w:t>
            </w:r>
          </w:p>
        </w:tc>
        <w:tc>
          <w:tcPr>
            <w:tcW w:w="9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w:cs="Calibri"/&gt;&lt;w:b/&gt;&lt;w:color w:val="FFFFFF"/&gt;&lt;w:sz w:val="19.0"/&gt;&lt;/w:rPr&gt;&lt;w:t xml:space="preserve"&gt;Owner&lt;/w:t&gt;&lt;/w:r&gt;</w:t>
            </w:r>
          </w:p>
        </w:tc>
        <w:tc>
          <w:tcPr>
            <w:tcW w:w="4126"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w:cs="Calibri"/&gt;&lt;w:b/&gt;&lt;w:color w:val="FFFFFF"/&gt;&lt;w:sz w:val="19.0"/&gt;&lt;/w:rPr&gt;&lt;w:t xml:space="preserve"&gt;Models&lt;/w:t&gt;&lt;/w:r&gt;</w:t>
            </w:r>
          </w:p>
        </w:tc>
        <w:tc>
          <w:tcPr>
            <w:tcW w:w="25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w:cs="Calibri"/&gt;&lt;w:b/&gt;&lt;w:color w:val="FFFFFF"/&gt;&lt;w:sz w:val="19.0"/&gt;&lt;/w:rPr&gt;&lt;w:t xml:space="preserve"&gt;Reported faults&lt;/w:t&gt;&lt;/w:r&gt;</w:t>
            </w:r>
          </w:p>
        </w:tc>
      </w:tr>
      <w:tr>
        <w:tc>
          <w:tcPr>
            <w:tcW w:w="15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xml:space="preserve"&gt;Bottle Loader&lt;/w:t&gt;&lt;/w:r&gt;</w:t>
            </w:r>
          </w:p>
        </w:tc>
        <w:tc>
          <w:tcPr>
            <w:tcW w:w="9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xml:space="preserve"&gt;Tonny&lt;/w:t&gt;&lt;/w:r&gt;</w:t>
            </w:r>
          </w:p>
        </w:tc>
        <w:tc>
          <w:tcPr>
            <w:tcW w:w="41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xml:space="preserve"&gt;Places an empty bottle on the input conveyor&lt;/w:t&gt;&lt;/w:r&gt;</w:t>
            </w:r>
          </w:p>
        </w:tc>
        <w:tc>
          <w:tcPr>
            <w:tcW w:w="25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xml:space="preserve"&gt;NO_BOTTLE_AVAILABLE, BOTTLE_NOT_PLACED, ARM_NOT_HOME&lt;/w:t&gt;&lt;/w:r&gt;</w:t>
            </w:r>
          </w:p>
        </w:tc>
      </w:tr>
      <w:tr>
        <w:tc>
          <w:tcPr>
            <w:tcW w:w="1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xml:space="preserve"&gt;Conveyor&lt;/w:t&gt;&lt;/w:r&gt;</w:t>
            </w:r>
          </w:p>
        </w:tc>
        <w:tc>
          <w:tcPr>
            <w:tcW w:w="9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xml:space="preserve"&gt;Tonny&lt;/w:t&gt;&lt;/w:r&gt;</w:t>
            </w:r>
          </w:p>
        </w:tc>
        <w:tc>
          <w:tcPr>
            <w:tcW w:w="41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xml:space="preserve"&gt;Moves a bottle along the line (shared for both input and output transfers)&lt;/w:t&gt;&lt;/w:r&gt;</w:t>
            </w:r>
          </w:p>
        </w:tc>
        <w:tc>
          <w:tcPr>
            <w:tcW w:w="2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xml:space="preserve"&gt;PHOTO_EYE_NOT_TRIGGERED, BOTTLE_NOT_LEFT&lt;/w:t&gt;&lt;/w:r&gt;</w:t>
            </w:r>
          </w:p>
        </w:tc>
      </w:tr>
      <w:tr>
        <w:tc>
          <w:tcPr>
            <w:tcW w:w="15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xml:space="preserve"&gt;Rotary Table&lt;/w:t&gt;&lt;/w:r&gt;</w:t>
            </w:r>
          </w:p>
        </w:tc>
        <w:tc>
          <w:tcPr>
            <w:tcW w:w="9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xml:space="preserve"&gt;Tonny&lt;/w:t&gt;&lt;/w:r&gt;</w:t>
            </w:r>
          </w:p>
        </w:tc>
        <w:tc>
          <w:tcPr>
            <w:tcW w:w="41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xml:space="preserve"&gt;Indexes the 6-position table by one 60° step per trigger&lt;/w:t&gt;&lt;/w:r&gt;</w:t>
            </w:r>
          </w:p>
        </w:tc>
        <w:tc>
          <w:tcPr>
            <w:tcW w:w="25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xml:space="preserve"&gt;(alignment timeout is enforced by the Coordinator, not the plant)&lt;/w:t&gt;&lt;/w:r&gt;</w:t>
            </w:r>
          </w:p>
        </w:tc>
      </w:tr>
      <w:tr>
        <w:tc>
          <w:tcPr>
            <w:tcW w:w="1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xml:space="preserve"&gt;Two-Liquid Filler&lt;/w:t&gt;&lt;/w:r&gt;</w:t>
            </w:r>
          </w:p>
        </w:tc>
        <w:tc>
          <w:tcPr>
            <w:tcW w:w="9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xml:space="preserve"&gt;Tonny&lt;/w:t&gt;&lt;/w:r&gt;</w:t>
            </w:r>
          </w:p>
        </w:tc>
        <w:tc>
          <w:tcPr>
            <w:tcW w:w="41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xml:space="preserve"&gt;Doses liquid A then liquid B into the bottle at the recipe’s target quantities&lt;/w:t&gt;&lt;/w:r&gt;</w:t>
            </w:r>
          </w:p>
        </w:tc>
        <w:tc>
          <w:tcPr>
            <w:tcW w:w="2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xml:space="preserve"&gt;NO_BOTTLE_PRESENT, OVERFLOW&lt;/w:t&gt;&lt;/w:r&gt;</w:t>
            </w:r>
          </w:p>
        </w:tc>
      </w:tr>
      <w:tr>
        <w:tc>
          <w:tcPr>
            <w:tcW w:w="15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xml:space="preserve"&gt;Lid Loader&lt;/w:t&gt;&lt;/w:r&gt;</w:t>
            </w:r>
          </w:p>
        </w:tc>
        <w:tc>
          <w:tcPr>
            <w:tcW w:w="9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xml:space="preserve"&gt;Eric&lt;/w:t&gt;&lt;/w:r&gt;</w:t>
            </w:r>
          </w:p>
        </w:tc>
        <w:tc>
          <w:tcPr>
            <w:tcW w:w="41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xml:space="preserve"&gt;Places a lid from the magazine onto the bottle&lt;/w:t&gt;&lt;/w:r&gt;</w:t>
            </w:r>
          </w:p>
        </w:tc>
        <w:tc>
          <w:tcPr>
            <w:tcW w:w="25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xml:space="preserve"&gt;evidence-gated (see § 4.2)&lt;/w:t&gt;&lt;/w:r&gt;</w:t>
            </w:r>
          </w:p>
        </w:tc>
      </w:tr>
      <w:tr>
        <w:tc>
          <w:tcPr>
            <w:tcW w:w="1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xml:space="preserve"&gt;Capper&lt;/w:t&gt;&lt;/w:r&gt;</w:t>
            </w:r>
          </w:p>
        </w:tc>
        <w:tc>
          <w:tcPr>
            <w:tcW w:w="9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xml:space="preserve"&gt;Eric&lt;/w:t&gt;&lt;/w:r&gt;</w:t>
            </w:r>
          </w:p>
        </w:tc>
        <w:tc>
          <w:tcPr>
            <w:tcW w:w="41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xml:space="preserve"&gt;Secures and screws the lid onto the bottle&lt;/w:t&gt;&lt;/w:r&gt;</w:t>
            </w:r>
          </w:p>
        </w:tc>
        <w:tc>
          <w:tcPr>
            <w:tcW w:w="2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xml:space="preserve"&gt;requires capSecured, clampHome, gripperHome, cycleComplete evidence&lt;/w:t&gt;&lt;/w:r&gt;</w:t>
            </w:r>
          </w:p>
        </w:tc>
      </w:tr>
      <w:tr>
        <w:tc>
          <w:tcPr>
            <w:tcW w:w="15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xml:space="preserve"&gt;Labeller&lt;/w:t&gt;&lt;/w:r&gt;</w:t>
            </w:r>
          </w:p>
        </w:tc>
        <w:tc>
          <w:tcPr>
            <w:tcW w:w="9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xml:space="preserve"&gt;Eric&lt;/w:t&gt;&lt;/w:r&gt;</w:t>
            </w:r>
          </w:p>
        </w:tc>
        <w:tc>
          <w:tcPr>
            <w:tcW w:w="41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xml:space="preserve"&gt;Applies the product/recipe/traceability label&lt;/w:t&gt;&lt;/w:r&gt;</w:t>
            </w:r>
          </w:p>
        </w:tc>
        <w:tc>
          <w:tcPr>
            <w:tcW w:w="25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xml:space="preserve"&gt;evidence-gated (see § 4.2)&lt;/w:t&gt;&lt;/w:r&gt;</w:t>
            </w:r>
          </w:p>
        </w:tc>
      </w:tr>
      <w:tr>
        <w:tc>
          <w:tcPr>
            <w:tcW w:w="1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xml:space="preserve"&gt;Unloader&lt;/w:t&gt;&lt;/w:r&gt;</w:t>
            </w:r>
          </w:p>
        </w:tc>
        <w:tc>
          <w:tcPr>
            <w:tcW w:w="9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xml:space="preserve"&gt;Eric&lt;/w:t&gt;&lt;/w:r&gt;</w:t>
            </w:r>
          </w:p>
        </w:tc>
        <w:tc>
          <w:tcPr>
            <w:tcW w:w="41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xml:space="preserve"&gt;Removes the completed bottle to output collection&lt;/w:t&gt;&lt;/w:r&gt;</w:t>
            </w:r>
          </w:p>
        </w:tc>
        <w:tc>
          <w:tcPr>
            <w:tcW w:w="2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xml:space="preserve"&gt;evidence-gated (see § 4.2)&lt;/w:t&gt;&lt;/w:r&gt;</w:t>
            </w:r>
          </w:p>
        </w:tc>
      </w:tr>
    </w:tbl>
    <w:p>
      <w:pPr>
        <w:pStyle w:val="Heading2"/>
        <w:keepNext/>
        <w:spacing w:before="160" w:after="120" w:line="240" w:lineRule="auto"/>
      </w:pPr>
      <w:r>
        <w:rPr>
          <w:rFonts w:ascii="Calibri" w:hAnsi="Calibri" w:cs="Calibri"/>
          <w:sz w:val="20"/>
        </w:rPr>
        <w:t xml:space="preserve">&lt;w:r&gt;&lt;w:rPr&gt;&lt;w:rFonts w:ascii="Calibri" w:hAnsi="Calibri" w:cs="Calibri"/&gt;&lt;w:b/&gt;&lt;w:color w:val="2E5395"/&gt;&lt;w:sz w:val="26"/&gt;&lt;/w:rPr&gt;&lt;w:t xml:space="preserve"&gt;Tonny’s stations — physical transport and filling&lt;/w:t&gt;&lt;/w:r&gt;</w:t>
      </w:r>
    </w:p>
    <w:p>
      <w:pPr>
        <w:spacing w:before="0" w:after="100" w:line="240" w:lineRule="auto"/>
      </w:pPr>
      <w:r>
        <w:rPr>
          <w:rFonts w:ascii="Calibri" w:hAnsi="Calibri" w:cs="Calibri"/>
          <w:b/>
          <w:sz w:val="20"/>
        </w:rPr>
        <w:t xml:space="preserve">Bottle Loader </w:t>
      </w:r>
      <w:r>
        <w:rPr>
          <w:rFonts w:ascii="Calibri" w:hAnsi="Calibri" w:cs="Calibri"/>
          <w:sz w:val="20"/>
        </w:rPr>
        <w:t xml:space="preserve">(BottleLoaderController/BottleLoaderPlant). The controller checks bottleAvailable, drives load(true) and waits for placed, then retract(true) and waits for armHome before reporting DONE|…|LOADER|OK|bottlePlaced=true.</w:t>
      </w:r>
    </w:p>
    <w:p>
      <w:pPr>
        <w:spacing w:before="0" w:after="100" w:line="240" w:lineRule="auto"/>
      </w:pPr>
      <w:r>
        <w:rPr>
          <w:rFonts w:ascii="Calibri" w:hAnsi="Calibri" w:cs="Calibri"/>
          <w:b/>
          <w:sz w:val="20"/>
        </w:rPr>
        <w:t xml:space="preserve">Conveyor </w:t>
      </w:r>
      <w:r>
        <w:rPr>
          <w:rFonts w:ascii="Calibri" w:hAnsi="Calibri" w:cs="Calibri"/>
          <w:sz w:val="20"/>
        </w:rPr>
        <w:t xml:space="preserve">(ConveyorController/ConveyorPlant). Drives motorRun(true), waits for the photoEye detection, waits for bottleLeft, then stops the motor. In the integrated build this single controller is reused as one shared worker that serialises an output transfer (bottle onto the labeller path) followed by an input transfer (next bottle onto the rotary table), matching WAIT_OUTPUT_TRANSFER / WAIT_INPUT_TRANSFER in § 3.</w:t>
      </w:r>
    </w:p>
    <w:p>
      <w:pPr>
        <w:spacing w:before="0" w:after="100" w:line="240" w:lineRule="auto"/>
      </w:pPr>
      <w:r>
        <w:rPr>
          <w:rFonts w:ascii="Calibri" w:hAnsi="Calibri" w:cs="Calibri"/>
          <w:b/>
          <w:sz w:val="20"/>
        </w:rPr>
        <w:t xml:space="preserve">Rotary Table </w:t>
      </w:r>
      <w:r>
        <w:rPr>
          <w:rFonts w:ascii="Calibri" w:hAnsi="Calibri" w:cs="Calibri"/>
          <w:sz w:val="20"/>
        </w:rPr>
        <w:t xml:space="preserve">(RotaryTableController/RotaryTablePlant). Structurally different from the other three: it is driven by pure SystemJ signals (rotateTrigger in, tableAligned out), not a job/workpiece command string, matching how the Coordinator treats table indexing as a shared, position-addressed resource rather than a per-bottle job. The Plant maintains a 6-character occupancy bitstring internally and rotates it each step; § 10 discusses a known limitation with this field.</w:t>
      </w:r>
    </w:p>
    <w:p>
      <w:pPr>
        <w:spacing w:before="0" w:after="160" w:line="240" w:lineRule="auto"/>
      </w:pPr>
      <w:r>
        <w:rPr>
          <w:rFonts w:ascii="Calibri" w:hAnsi="Calibri" w:cs="Calibri"/>
          <w:b/>
          <w:sz w:val="20"/>
        </w:rPr>
        <w:t xml:space="preserve">Two-Liquid Filler </w:t>
      </w:r>
      <w:r>
        <w:rPr>
          <w:rFonts w:ascii="Calibri" w:hAnsi="Calibri" w:cs="Calibri"/>
          <w:sz w:val="20"/>
        </w:rPr>
        <w:t xml:space="preserve">(TwoLiquidFillerController/TwoLiquidFillerPlant). Waits for bottlePresent, doses target1 then target2 (liquid A and B), waits for the corresponding dose1Done/dose2Done, then checks overflow before reporting DONE with the commanded amounts as evidence. The Plant accumulates currentLevel and flags overflow past 100.</w:t>
      </w:r>
    </w:p>
    <w:p>
      <w:pPr>
        <w:pStyle w:val="Heading2"/>
        <w:keepNext/>
        <w:spacing w:before="160" w:after="120" w:line="240" w:lineRule="auto"/>
      </w:pPr>
      <w:r>
        <w:rPr>
          <w:rFonts w:ascii="Calibri" w:hAnsi="Calibri" w:cs="Calibri"/>
          <w:sz w:val="20"/>
        </w:rPr>
        <w:t xml:space="preserve">&lt;w:r&gt;&lt;w:rPr&gt;&lt;w:rFonts w:ascii="Calibri" w:hAnsi="Calibri" w:cs="Calibri"/&gt;&lt;w:b/&gt;&lt;w:color w:val="2E5395"/&gt;&lt;w:sz w:val="26"/&gt;&lt;/w:rPr&gt;&lt;w:t xml:space="preserve"&gt;Eric’s finishing stations — evidence-gated completion&lt;/w:t&gt;&lt;/w:r&gt;</w:t>
      </w:r>
    </w:p>
    <w:p>
      <w:pPr>
        <w:spacing w:before="0" w:after="140" w:line="240" w:lineRule="auto"/>
      </w:pPr>
      <w:r>
        <w:rPr>
          <w:rFonts w:ascii="Calibri" w:hAnsi="Calibri" w:cs="Calibri"/>
          <w:sz w:val="20"/>
        </w:rPr>
        <w:t xml:space="preserve">The four finishing stations (lid loader, capper, labeller, unloader) are wired through a shared protocol layer, FinishingWire, rather than four bespoke controllers. FinishingWire is a strict local wire codec: it parses and validates START|jobId|workpieceId|machine|operation|key=val|… frames against per-id regexes and a URL-encoded payload codec, maps each machine name to its Operation (LidLoaderController → PLACE_LID, CapperController → CAP_BOTTLE, LabelerController → APPLY_LABEL, UnloaderController → UNLOAD), and — the key design decision — defines requiredEvidence(machine): a DONE result is only accepted once the named evidence keys the physical station would have actually sensed are present (the Capper, for example, requires capSecured, clampHome, gripperHome and cycleComplete). This closes off a whole class of "DONE without doing anything" bugs at the protocol layer rather than trusting each controller’s own implementation to remember to check.</w:t>
      </w:r>
    </w:p>
    <w:p>
      <w:pPr>
        <w:spacing w:before="0" w:after="180" w:line="240" w:lineRule="auto"/>
      </w:pPr>
      <w:r>
        <w:rPr>
          <w:rFonts w:ascii="Calibri" w:hAnsi="Calibri" w:cs="Calibri"/>
          <w:sz w:val="20"/>
        </w:rPr>
        <w:t xml:space="preserve">For this simulation, the finishing stations run behind FlatFinishingShim — "Tony’s flat simulation profile" per its own doc comment: SystemJ still performs all channel I/O, the shim only assumes reasonable physical preconditions, grants a boot permit, and auto-repairs safe simulated faults so a bottle is never silently retried. It is deliberately not the default: its constructor throws unless the process is started with -Deric.finishing.flatSimulation=true, so it can never silently activate in a run that was not explicitly configured for it — the same simulation-only gating principle used for -Dcoordinator.testLidFault=true (§ 9) and -Dip.autoActivate=true (§ 7).</w:t>
      </w:r>
    </w:p>
    <w:p>
      <w:pPr>
        <w:pStyle w:val="Heading1"/>
        <w:keepNext/>
        <w:pBdr>
          <w:bottom w:val="single" w:sz="6" w:space="4" w:color="999999"/>
        </w:pBdr>
        <w:spacing w:before="280" w:after="120" w:line="240" w:lineRule="auto"/>
      </w:pPr>
      <w:r>
        <w:rPr>
          <w:rFonts w:ascii="Calibri" w:hAnsi="Calibri" w:cs="Calibri"/>
          <w:sz w:val="20"/>
        </w:rPr>
        <w:t xml:space="preserve">&lt;w:r&gt;&lt;w:rPr&gt;&lt;w:rFonts w:ascii="Calibri" w:hAnsi="Calibri" w:cs="Calibri"/&gt;&lt;w:b/&gt;&lt;w:color w:val="1F3864"/&gt;&lt;w:sz w:val="32"/&gt;&lt;/w:rPr&gt;&lt;w:t xml:space="preserve"&gt;5. Workpiece Tracking and the Digital Twin&lt;/w:t&gt;&lt;/w:r&gt;</w:t>
      </w:r>
    </w:p>
    <w:p>
      <w:pPr>
        <w:spacing w:before="0" w:after="140" w:line="240" w:lineRule="auto"/>
      </w:pPr>
      <w:r>
        <w:rPr>
          <w:rFonts w:ascii="Calibri" w:hAnsi="Calibri" w:cs="Calibri"/>
          <w:sz w:val="20"/>
        </w:rPr>
        <w:t xml:space="preserve">Every bottle admitted to the line becomes a "twin" owned by Eric’s WorkpieceTracker, whose own class comment states its role precisely: "Authoritative owner of active Group Project bottle twins. Commands express intent. Only correlated controller results and named sensor evidence are allowed to change completed operations or physical location." The tracker exposes a small, deliberately strict lifecycle API (createTwin, confirmLocation, dispatch, acceptReport, completeAndArchive, rejectAndArchive, abortAndArchive): dispatch() throws if the requested operation is not the twin’s expected next operation or a job is already outstanding, and acceptReport() runs validateCorrelation(), which throws unless the reported workpieceId, jobId and machineId all match the twin’s currently-dispatched job — a direct, structural defence against a stale or foreign controller result silently updating the wrong bottle’s state.</w:t>
      </w:r>
    </w:p>
    <w:p>
      <w:pPr>
        <w:spacing w:before="0" w:after="140" w:line="240" w:lineRule="auto"/>
      </w:pPr>
      <w:r>
        <w:rPr>
          <w:rFonts w:ascii="Calibri" w:hAnsi="Calibri" w:cs="Calibri"/>
          <w:sz w:val="20"/>
        </w:rPr>
        <w:t xml:space="preserve">A second design principle runs through this layer: commanded values and measured values are never conflated. MachineReport’s evidence map only ever carries what a station actually sensed, and WorkpieceTracker’s retainDosedAmounts() explicitly refuses to overwrite a missing filler reading with zero — its own comment is blunt about this: "unknown amounts must never be replaced with zero." This matters for the IP’s persistence layer downstream, which stores exactly this distinction (§ 7.1, BottleEvents.label_data and the separate commandedLiquidA/commandedLiquidB fields IntegratedCoordinator attaches to a FILLER report).</w:t>
      </w:r>
    </w:p>
    <w:p>
      <w:pPr>
        <w:spacing w:before="0" w:after="180" w:line="240" w:lineRule="auto"/>
      </w:pPr>
      <w:r>
        <w:rPr>
          <w:rFonts w:ascii="Calibri" w:hAnsi="Calibri" w:cs="Calibri"/>
          <w:sz w:val="20"/>
        </w:rPr>
        <w:t xml:space="preserve">Confirmed transitions are also published, live, to a package-private, non-blocking bridge, TwinEventBus, which the IP’s persistence layer drains on its own consumer thread to feed a real DigitalTwinAssembler and DeviationDetector (see § 7.1) — so the database-backed digital twin is assembled from the same production events Eric’s own tracker and GUI already consume, not a second, separately-simulated data source. This hook is self-gating by construction: publishing wraps Integer.parseInt(batch)/Integer.parseInt(recipe) in a try/catch that silently no-ops on a NumberFormatException, so it has zero effect whenever batch/recipe are not numeric database IDs (i.e. on the original console-driven profile), while requiring no configuration flag or special-case branch in IntegratedCoordinator itself.</w:t>
      </w:r>
    </w:p>
    <w:p>
      <w:pPr>
        <w:pStyle w:val="Heading1"/>
        <w:keepNext/>
        <w:pBdr>
          <w:bottom w:val="single" w:sz="6" w:space="4" w:color="999999"/>
        </w:pBdr>
        <w:spacing w:before="280" w:after="120" w:line="240" w:lineRule="auto"/>
      </w:pPr>
      <w:r>
        <w:rPr>
          <w:rFonts w:ascii="Calibri" w:hAnsi="Calibri" w:cs="Calibri"/>
          <w:sz w:val="20"/>
        </w:rPr>
        <w:t xml:space="preserve">&lt;w:r&gt;&lt;w:rPr&gt;&lt;w:rFonts w:ascii="Calibri" w:hAnsi="Calibri" w:cs="Calibri"/&gt;&lt;w:b/&gt;&lt;w:color w:val="1F3864"/&gt;&lt;w:sz w:val="32"/&gt;&lt;/w:rPr&gt;&lt;w:t xml:space="preserve"&gt;6. Safety Monitor and Recovery&lt;/w:t&gt;&lt;/w:r&gt;</w:t>
      </w:r>
    </w:p>
    <w:p>
      <w:pPr>
        <w:spacing w:before="0" w:after="140" w:line="240" w:lineRule="auto"/>
      </w:pPr>
      <w:r>
        <w:rPr>
          <w:rFonts w:ascii="Calibri" w:hAnsi="Calibri" w:cs="Calibri"/>
          <w:sz w:val="20"/>
        </w:rPr>
        <w:t xml:space="preserve">The brief requires that production stop and safely resume around two conditions: human presence detected in the ABS zone, and ambient conditions (temperature/humidity/light) outside range, both simplified to "the process stops and resumes from a predefined point (all opened bottles removed from the system before resumption of operation)". Group 7 modelled this as a three-command console-driven stand-in for the real sensor inputs (SafetyMonitorCD/SafetyMonitorModel), sharing its console input with the Batch Manager via a SharedConsole helper so both can read System.in without contending for it, until an operator GUI event can replace it directly.</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1400"/>
        <w:gridCol w:w="2600"/>
        <w:gridCol w:w="5026"/>
      </w:tblGrid>
      <w:tr>
        <w:trPr>
          <w:tblHeader/>
        </w:trPr>
        <w:tc>
          <w:tcPr>
            <w:tcW w:w="14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w:cs="Calibri"/&gt;&lt;w:b/&gt;&lt;w:color w:val="FFFFFF"/&gt;&lt;w:sz w:val="19.0"/&gt;&lt;/w:rPr&gt;&lt;w:t xml:space="preserve"&gt;Command&lt;/w:t&gt;&lt;/w:r&gt;</w:t>
            </w:r>
          </w:p>
        </w:tc>
        <w:tc>
          <w:tcPr>
            <w:tcW w:w="26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w:cs="Calibri"/&gt;&lt;w:b/&gt;&lt;w:color w:val="FFFFFF"/&gt;&lt;w:sz w:val="19.0"/&gt;&lt;/w:rPr&gt;&lt;w:t xml:space="preserve"&gt;Coordinator method&lt;/w:t&gt;&lt;/w:r&gt;</w:t>
            </w:r>
          </w:p>
        </w:tc>
        <w:tc>
          <w:tcPr>
            <w:tcW w:w="5026"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w:cs="Calibri"/&gt;&lt;w:b/&gt;&lt;w:color w:val="FFFFFF"/&gt;&lt;w:sz w:val="19.0"/&gt;&lt;/w:rPr&gt;&lt;w:t xml:space="preserve"&gt;Effect&lt;/w:t&gt;&lt;/w:r&gt;</w:t>
            </w:r>
          </w:p>
        </w:tc>
      </w:tr>
      <w:tr>
        <w:tc>
          <w:tcPr>
            <w:tcW w:w="14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xml:space="preserve"&gt;hazard&lt;/w:t&gt;&lt;/w:r&gt;</w:t>
            </w:r>
          </w:p>
        </w:tc>
        <w:tc>
          <w:tcPr>
            <w:tcW w:w="26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xml:space="preserve"&gt;hazard()&lt;/w:t&gt;&lt;/w:r&gt;</w:t>
            </w:r>
          </w:p>
        </w:tc>
        <w:tc>
          <w:tcPr>
            <w:tcW w:w="50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xml:space="preserve"&gt;Immediate HOLD with fault SAFETY_PERMIT_LOST_MANUAL_RECOVERY_REQUIRED; stops admitting new bottles&lt;/w:t&gt;&lt;/w:r&gt;</w:t>
            </w:r>
          </w:p>
        </w:tc>
      </w:tr>
      <w:tr>
        <w:tc>
          <w:tcPr>
            <w:tcW w:w="14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xml:space="preserve"&gt;clear&lt;/w:t&gt;&lt;/w:r&gt;</w:t>
            </w:r>
          </w:p>
        </w:tc>
        <w:tc>
          <w:tcPr>
            <w:tcW w:w="26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xml:space="preserve"&gt;permitRestored()&lt;/w:t&gt;&lt;/w:r&gt;</w:t>
            </w:r>
          </w:p>
        </w:tc>
        <w:tc>
          <w:tcPr>
            <w:tcW w:w="50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xml:space="preserve"&gt;Sensor condition back in range — does NOT by itself resume production&lt;/w:t&gt;&lt;/w:r&gt;</w:t>
            </w:r>
          </w:p>
        </w:tc>
      </w:tr>
      <w:tr>
        <w:tc>
          <w:tcPr>
            <w:tcW w:w="14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xml:space="preserve"&gt;reset&lt;/w:t&gt;&lt;/w:r&gt;</w:t>
            </w:r>
          </w:p>
        </w:tc>
        <w:tc>
          <w:tcPr>
            <w:tcW w:w="26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xml:space="preserve"&gt;reset()&lt;/w:t&gt;&lt;/w:r&gt;</w:t>
            </w:r>
          </w:p>
        </w:tc>
        <w:tc>
          <w:tcPr>
            <w:tcW w:w="50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xml:space="preserve"&gt;Operator acknowledgement; only takes effect once !unsafe and the fault is exactly the safety string above&lt;/w:t&gt;&lt;/w:r&gt;</w:t>
            </w:r>
          </w:p>
        </w:tc>
      </w:tr>
    </w:tbl>
    <w:p>
      <w:pPr>
        <w:spacing w:before="0" w:after="180" w:line="240" w:lineRule="auto"/>
      </w:pPr>
      <w:r>
        <w:rPr>
          <w:rFonts w:ascii="Calibri" w:hAnsi="Calibri" w:cs="Calibri"/>
          <w:sz w:val="20"/>
        </w:rPr>
        <w:t xml:space="preserve">reset() is the one and only automatic-recovery path in the whole Coordinator, and it is scoped narrowly on purpose: a machine fault (a real LID_PLANT_SIMULATED_JAM, for example) is never auto-recoverable this way, only the safety-specific fault string qualifies. When it does apply, reset() reconciles the line exactly as the brief specifies — "all opened bottles removed from the system before resumption" — by calling tracker.abortAndArchive() on every open workpiece (input conveyor, all six table positions, label slot, output slot) before clearing the fault and returning to WAIT_ORDER. Every one of those archived bottles also gets an ABORTED transition published to TwinEventBus, so the persistence layer’s BottleEvents record shows exactly which in-flight bottles were discarded and why, not merely that the line eventually resumed.</w:t>
      </w:r>
    </w:p>
    <w:p>
      <w:pPr>
        <w:pStyle w:val="Heading1"/>
        <w:keepNext/>
        <w:pBdr>
          <w:bottom w:val="single" w:sz="6" w:space="4" w:color="999999"/>
        </w:pBdr>
        <w:spacing w:before="280" w:after="120" w:line="240" w:lineRule="auto"/>
      </w:pPr>
      <w:r>
        <w:rPr>
          <w:rFonts w:ascii="Calibri" w:hAnsi="Calibri" w:cs="Calibri"/>
          <w:sz w:val="20"/>
        </w:rPr>
        <w:t xml:space="preserve">&lt;w:r&gt;&lt;w:rPr&gt;&lt;w:rFonts w:ascii="Calibri" w:hAnsi="Calibri" w:cs="Calibri"/&gt;&lt;w:b/&gt;&lt;w:color w:val="1F3864"/&gt;&lt;w:sz w:val="32"/&gt;&lt;/w:rPr&gt;&lt;w:t xml:space="preserve"&gt;7. Purchase Order System — Persistence and Batch Consolidation&lt;/w:t&gt;&lt;/w:r&gt;</w:t>
      </w:r>
    </w:p>
    <w:p>
      <w:pPr>
        <w:spacing w:before="0" w:after="120" w:line="240" w:lineRule="auto"/>
      </w:pPr>
      <w:r>
        <w:rPr>
          <w:rFonts w:ascii="Calibri" w:hAnsi="Calibri" w:cs="Calibri"/>
          <w:sz w:val="20"/>
        </w:rPr>
        <w:t xml:space="preserve">This is the individual project (persistence) whose results have been adopted into the group deliverable. The POS is backed by a real SQLite database (com.g7.ip.Db/Dao) with six tables, matching the schema shown in Table 2, and two façade classes over it: POS (validates and records a customer order) and BatchManager (consolidates pending demand and hands a completed batch to the Coordinator).</w:t>
      </w:r>
    </w:p>
    <w:p>
      <w:pPr>
        <w:jc w:val="center"/>
        <w:spacing w:before="0" w:after="220" w:line="240" w:lineRule="auto"/>
      </w:pPr>
      <w:r>
        <w:rPr>
          <w:rFonts w:ascii="Calibri" w:hAnsi="Calibri" w:cs="Calibri"/>
          <w:sz w:val="20"/>
        </w:rPr>
        <w:t xml:space="preserve">&lt;w:r&gt;&lt;w:rPr&gt;&lt;w:rFonts w:ascii="Calibri" w:hAnsi="Calibri" w:cs="Calibri"/&gt;&lt;w:i/&gt;&lt;w:color w:val="555555"/&gt;&lt;w:sz w:val="19.0"/&gt;&lt;/w:rPr&gt;&lt;w:t xml:space="preserve"&gt;Table 2. Persistence schema&lt;/w:t&gt;&lt;/w:r&gt;</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1700"/>
        <w:gridCol w:w="7326"/>
      </w:tblGrid>
      <w:tr>
        <w:trPr>
          <w:tblHeader/>
        </w:trPr>
        <w:tc>
          <w:tcPr>
            <w:tcW w:w="17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w:cs="Calibri"/&gt;&lt;w:b/&gt;&lt;w:color w:val="FFFFFF"/&gt;&lt;w:sz w:val="19.0"/&gt;&lt;/w:rPr&gt;&lt;w:t xml:space="preserve"&gt;Table&lt;/w:t&gt;&lt;/w:r&gt;</w:t>
            </w:r>
          </w:p>
        </w:tc>
        <w:tc>
          <w:tcPr>
            <w:tcW w:w="7326"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w:cs="Calibri"/&gt;&lt;w:b/&gt;&lt;w:color w:val="FFFFFF"/&gt;&lt;w:sz w:val="19.0"/&gt;&lt;/w:rPr&gt;&lt;w:t xml:space="preserve"&gt;Purpose&lt;/w:t&gt;&lt;/w:r&gt;</w:t>
            </w:r>
          </w:p>
        </w:tc>
      </w:tr>
      <w:tr>
        <w:tc>
          <w:tcPr>
            <w:tcW w:w="17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xml:space="preserve"&gt;Recipes&lt;/w:t&gt;&lt;/w:r&gt;</w:t>
            </w:r>
          </w:p>
        </w:tc>
        <w:tc>
          <w:tcPr>
            <w:tcW w:w="73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xml:space="preserve"&gt;Product/bottle-size/liquid-A%/liquid-B% formulations, CHECK-constrained to sum ≤ 100%&lt;/w:t&gt;&lt;/w:r&gt;</w:t>
            </w:r>
          </w:p>
        </w:tc>
      </w:tr>
      <w:tr>
        <w:tc>
          <w:tcPr>
            <w:tcW w:w="17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xml:space="preserve"&gt;Orders&lt;/w:t&gt;&lt;/w:r&gt;</w:t>
            </w:r>
          </w:p>
        </w:tc>
        <w:tc>
          <w:tcPr>
            <w:tcW w:w="73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xml:space="preserve"&gt;Customer purchase orders — customer_po (UNIQUE), customer_id, product_id, quantity, status&lt;/w:t&gt;&lt;/w:r&gt;</w:t>
            </w:r>
          </w:p>
        </w:tc>
      </w:tr>
      <w:tr>
        <w:tc>
          <w:tcPr>
            <w:tcW w:w="17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xml:space="preserve"&gt;Batches&lt;/w:t&gt;&lt;/w:r&gt;</w:t>
            </w:r>
          </w:p>
        </w:tc>
        <w:tc>
          <w:tcPr>
            <w:tcW w:w="73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xml:space="preserve"&gt;One production run — recipe_id, product_id, status (PENDING/RUNNING/COMPLETED/FAULT)&lt;/w:t&gt;&lt;/w:r&gt;</w:t>
            </w:r>
          </w:p>
        </w:tc>
      </w:tr>
      <w:tr>
        <w:tc>
          <w:tcPr>
            <w:tcW w:w="17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xml:space="preserve"&gt;OrderBatches&lt;/w:t&gt;&lt;/w:r&gt;</w:t>
            </w:r>
          </w:p>
        </w:tc>
        <w:tc>
          <w:tcPr>
            <w:tcW w:w="73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xml:space="preserve"&gt;Many-to-many order↔batch link; tracks allocated/admitted/completed quantity per order&lt;/w:t&gt;&lt;/w:r&gt;</w:t>
            </w:r>
          </w:p>
        </w:tc>
      </w:tr>
      <w:tr>
        <w:tc>
          <w:tcPr>
            <w:tcW w:w="17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xml:space="preserve"&gt;BottleEvents&lt;/w:t&gt;&lt;/w:r&gt;</w:t>
            </w:r>
          </w:p>
        </w:tc>
        <w:tc>
          <w:tcPr>
            <w:tcW w:w="73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xml:space="preserve"&gt;Append-only digital-twin history — one row per confirmed station transition per bottle&lt;/w:t&gt;&lt;/w:r&gt;</w:t>
            </w:r>
          </w:p>
        </w:tc>
      </w:tr>
      <w:tr>
        <w:tc>
          <w:tcPr>
            <w:tcW w:w="17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xml:space="preserve"&gt;Faults&lt;/w:t&gt;&lt;/w:r&gt;</w:t>
            </w:r>
          </w:p>
        </w:tc>
        <w:tc>
          <w:tcPr>
            <w:tcW w:w="73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xml:space="preserve"&gt;Equipment fault log — bottle_id, batch_id, device_name, reason, OPEN/RESOLVED status&lt;/w:t&gt;&lt;/w:r&gt;</w:t>
            </w:r>
          </w:p>
        </w:tc>
      </w:tr>
    </w:tbl>
    <w:p>
      <w:pPr>
        <w:spacing w:before="0" w:after="120" w:line="240" w:lineRule="auto"/>
      </w:pPr>
      <w:r>
        <w:rPr>
          <w:rFonts w:ascii="Calibri" w:hAnsi="Calibri" w:cs="Calibri"/>
          <w:sz w:val="20"/>
        </w:rPr>
        <w:t xml:space="preserve">Figure 3 traces one order from submission to production. POS.submitOrder() validates the requested recipe exists, belongs to the given product, and its bottle type matches, then records the order as PENDING and returns — it never talks to IntegratedCoordinator directly, matching the brief’s own boundary rule that order content is pulled later by the Batch Manager, not pushed by the POS.</w:t>
      </w:r>
    </w:p>
    <w:p>
      <w:pPr>
        <w:jc w:val="center"/>
        <w:spacing w:before="0" w:after="220" w:line="240" w:lineRule="auto"/>
      </w:pPr>
      <w:r>
        <w:rPr>
          <w:rFonts w:ascii="Calibri" w:hAnsi="Calibri" w:cs="Calibri"/>
          <w:sz w:val="20"/>
        </w:rPr>
        <w:t xml:space="preserve">&lt;w:r&gt;&lt;w:rPr&gt;&lt;w:rFonts w:ascii="Calibri" w:hAnsi="Calibri" w:cs="Calibri"/&gt;&lt;w:i/&gt;&lt;w:color w:val="555555"/&gt;&lt;w:sz w:val="19.0"/&gt;&lt;/w:rPr&gt;&lt;w:t xml:space="preserve"&gt;Figure 3. Order-to-production data flow&lt;/w:t&gt;&lt;/w:r&gt;</w:t>
      </w:r>
    </w:p>
    <w:tbl>
      <w:tblPr>
        <w:tblW w:w="9026" w:type="dxa"/>
        <w:tblBorders>
          <w:top w:val="single" w:sz="8" w:color="C9822B"/>
          <w:left w:val="single" w:sz="8" w:color="C9822B"/>
          <w:bottom w:val="single" w:sz="8" w:color="C9822B"/>
          <w:right w:val="single" w:sz="8" w:color="C9822B"/>
          <w:insideH w:val="single" w:sz="8" w:color="C9822B"/>
          <w:insideV w:val="single" w:sz="8" w:color="C9822B"/>
        </w:tblBorders>
        <w:tblLayout w:type="fixed"/>
      </w:tblPr>
      <w:tblGrid>
        <w:gridCol w:w="9026"/>
      </w:tblGrid>
      <w:tr>
        <w:trPr/>
        <w:tc>
          <w:tcPr>
            <w:tcW w:w="9026" w:type="dxa"/>
            <w:shd w:val="clear" w:color="auto" w:fill="FDEBD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xml:space="preserve"&gt;Customer submits order (POS)&lt;/w:t&gt;&lt;/w:r&gt;</w:t>
            </w:r>
          </w:p>
        </w:tc>
      </w:tr>
    </w:tbl>
    <w:p>
      <w:pPr>
        <w:jc w:val="center"/>
        <w:spacing w:before="60" w:after="100" w:line="240" w:lineRule="auto"/>
      </w:pPr>
      <w:r>
        <w:rPr>
          <w:rFonts w:ascii="Calibri" w:hAnsi="Calibri" w:cs="Calibri"/>
          <w:sz w:val="20"/>
        </w:rPr>
        <w:t xml:space="preserve">&lt;w:r&gt;&lt;w:rPr&gt;&lt;w:rFonts w:ascii="Calibri" w:hAnsi="Calibri" w:cs="Calibri"/&gt;&lt;w:b/&gt;&lt;w:color w:val="4472C4"/&gt;&lt;w:sz w:val="26"/&gt;&lt;/w:rPr&gt;&lt;w:t xml:space="preserve"&gt;↓  POS.submitOrder() — validate against Recipes&lt;/w:t&gt;&lt;/w:r&gt;</w:t>
      </w:r>
    </w:p>
    <w:tbl>
      <w:tblPr>
        <w:tblW w:w="9026" w:type="dxa"/>
        <w:tblBorders>
          <w:top w:val="single" w:sz="8" w:color="6A4C93"/>
          <w:left w:val="single" w:sz="8" w:color="6A4C93"/>
          <w:bottom w:val="single" w:sz="8" w:color="6A4C93"/>
          <w:right w:val="single" w:sz="8" w:color="6A4C93"/>
          <w:insideH w:val="single" w:sz="8" w:color="6A4C93"/>
          <w:insideV w:val="single" w:sz="8" w:color="6A4C93"/>
        </w:tblBorders>
        <w:tblLayout w:type="fixed"/>
      </w:tblPr>
      <w:tblGrid>
        <w:gridCol w:w="9026"/>
      </w:tblGrid>
      <w:tr>
        <w:trPr/>
        <w:tc>
          <w:tcPr>
            <w:tcW w:w="9026" w:type="dxa"/>
            <w:shd w:val="clear" w:color="auto" w:fill="E2D9F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xml:space="preserve"&gt;Orders row, status = PENDING&lt;/w:t&gt;&lt;/w:r&gt;</w:t>
            </w:r>
          </w:p>
        </w:tc>
      </w:tr>
    </w:tbl>
    <w:p>
      <w:pPr>
        <w:jc w:val="center"/>
        <w:spacing w:before="60" w:after="100" w:line="240" w:lineRule="auto"/>
      </w:pPr>
      <w:r>
        <w:rPr>
          <w:rFonts w:ascii="Calibri" w:hAnsi="Calibri" w:cs="Calibri"/>
          <w:sz w:val="20"/>
        </w:rPr>
        <w:t xml:space="preserve">&lt;w:r&gt;&lt;w:rPr&gt;&lt;w:rFonts w:ascii="Calibri" w:hAnsi="Calibri" w:cs="Calibri"/&gt;&lt;w:b/&gt;&lt;w:color w:val="4472C4"/&gt;&lt;w:sz w:val="26"/&gt;&lt;/w:rPr&gt;&lt;w:t xml:space="preserve"&gt;↓  BatchManager.tryActivateNextBatch()&lt;/w:t&gt;&lt;/w:r&gt;</w:t>
      </w:r>
    </w:p>
    <w:tbl>
      <w:tblPr>
        <w:tblW w:w="9026" w:type="dxa"/>
        <w:tblBorders>
          <w:top w:val="single" w:sz="8" w:color="6A4C93"/>
          <w:left w:val="single" w:sz="8" w:color="6A4C93"/>
          <w:bottom w:val="single" w:sz="8" w:color="6A4C93"/>
          <w:right w:val="single" w:sz="8" w:color="6A4C93"/>
          <w:insideH w:val="single" w:sz="8" w:color="6A4C93"/>
          <w:insideV w:val="single" w:sz="8" w:color="6A4C93"/>
        </w:tblBorders>
        <w:tblLayout w:type="fixed"/>
      </w:tblPr>
      <w:tblGrid>
        <w:gridCol w:w="9026"/>
      </w:tblGrid>
      <w:tr>
        <w:trPr/>
        <w:tc>
          <w:tcPr>
            <w:tcW w:w="9026" w:type="dxa"/>
            <w:shd w:val="clear" w:color="auto" w:fill="E2D9F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xml:space="preserve"&gt;Consolidate all PENDING orders for the chosen product&lt;/w:t&gt;&lt;/w:r&gt;</w:t>
            </w:r>
          </w:p>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xml:space="preserve"&gt;into one Batches row + OrderBatches links&lt;/w:t&gt;&lt;/w:r&gt;</w:t>
            </w:r>
          </w:p>
        </w:tc>
      </w:tr>
    </w:tbl>
    <w:p>
      <w:pPr>
        <w:jc w:val="center"/>
        <w:spacing w:before="60" w:after="100" w:line="240" w:lineRule="auto"/>
      </w:pPr>
      <w:r>
        <w:rPr>
          <w:rFonts w:ascii="Calibri" w:hAnsi="Calibri" w:cs="Calibri"/>
          <w:sz w:val="20"/>
        </w:rPr>
        <w:t xml:space="preserve">&lt;w:r&gt;&lt;w:rPr&gt;&lt;w:rFonts w:ascii="Calibri" w:hAnsi="Calibri" w:cs="Calibri"/&gt;&lt;w:b/&gt;&lt;w:color w:val="4472C4"/&gt;&lt;w:sz w:val="26"/&gt;&lt;/w:rPr&gt;&lt;w:t xml:space="preserve"&gt;↓  CoordinatorLink.activateBatch(...) → ACTIVATE frame&lt;/w:t&gt;&lt;/w:r&gt;</w:t>
      </w:r>
    </w:p>
    <w:tbl>
      <w:tblPr>
        <w:tblW w:w="9026" w:type="dxa"/>
        <w:tblBorders>
          <w:top w:val="single" w:sz="8" w:color="4472C4"/>
          <w:left w:val="single" w:sz="8" w:color="4472C4"/>
          <w:bottom w:val="single" w:sz="8" w:color="4472C4"/>
          <w:right w:val="single" w:sz="8" w:color="4472C4"/>
          <w:insideH w:val="single" w:sz="8" w:color="4472C4"/>
          <w:insideV w:val="single" w:sz="8" w:color="4472C4"/>
        </w:tblBorders>
        <w:tblLayout w:type="fixed"/>
      </w:tblPr>
      <w:tblGrid>
        <w:gridCol w:w="9026"/>
      </w:tblGrid>
      <w:tr>
        <w:trPr/>
        <w:tc>
          <w:tcPr>
            <w:tcW w:w="9026"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xml:space="preserve"&gt;IntegratedCoordinator runs the batch (§ 3)&lt;/w:t&gt;&lt;/w:r&gt;</w:t>
            </w:r>
          </w:p>
        </w:tc>
      </w:tr>
    </w:tbl>
    <w:p>
      <w:pPr>
        <w:jc w:val="center"/>
        <w:spacing w:before="60" w:after="100" w:line="240" w:lineRule="auto"/>
      </w:pPr>
      <w:r>
        <w:rPr>
          <w:rFonts w:ascii="Calibri" w:hAnsi="Calibri" w:cs="Calibri"/>
          <w:sz w:val="20"/>
        </w:rPr>
        <w:t xml:space="preserve">&lt;w:r&gt;&lt;w:rPr&gt;&lt;w:rFonts w:ascii="Calibri" w:hAnsi="Calibri" w:cs="Calibri"/&gt;&lt;w:b/&gt;&lt;w:color w:val="4472C4"/&gt;&lt;w:sz w:val="26"/&gt;&lt;/w:rPr&gt;&lt;w:t xml:space="preserve"&gt;↓  DRAINED|batchId, or FAULT|batchId|reason&lt;/w:t&gt;&lt;/w:r&gt;</w:t>
      </w:r>
    </w:p>
    <w:tbl>
      <w:tblPr>
        <w:tblW w:w="9026" w:type="dxa"/>
        <w:tblBorders>
          <w:top w:val="single" w:sz="8" w:color="6A4C93"/>
          <w:left w:val="single" w:sz="8" w:color="6A4C93"/>
          <w:bottom w:val="single" w:sz="8" w:color="6A4C93"/>
          <w:right w:val="single" w:sz="8" w:color="6A4C93"/>
          <w:insideH w:val="single" w:sz="8" w:color="6A4C93"/>
          <w:insideV w:val="single" w:sz="8" w:color="6A4C93"/>
        </w:tblBorders>
        <w:tblLayout w:type="fixed"/>
      </w:tblPr>
      <w:tblGrid>
        <w:gridCol w:w="9026"/>
      </w:tblGrid>
      <w:tr>
        <w:trPr/>
        <w:tc>
          <w:tcPr>
            <w:tcW w:w="9026" w:type="dxa"/>
            <w:shd w:val="clear" w:color="auto" w:fill="E2D9F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xml:space="preserve"&gt;Batches.status = COMPLETED (or FAULT) — BatchManager checks for the next batch&lt;/w:t&gt;&lt;/w:r&gt;</w:t>
            </w:r>
          </w:p>
        </w:tc>
      </w:tr>
    </w:tbl>
    <w:p>
      <w:pPr>
        <w:pStyle w:val="Heading2"/>
        <w:keepNext/>
        <w:spacing w:before="160" w:after="120" w:line="240" w:lineRule="auto"/>
      </w:pPr>
      <w:r>
        <w:rPr>
          <w:rFonts w:ascii="Calibri" w:hAnsi="Calibri" w:cs="Calibri"/>
          <w:sz w:val="20"/>
        </w:rPr>
        <w:t xml:space="preserve">&lt;w:r&gt;&lt;w:rPr&gt;&lt;w:rFonts w:ascii="Calibri" w:hAnsi="Calibri" w:cs="Calibri"/&gt;&lt;w:b/&gt;&lt;w:color w:val="2E5395"/&gt;&lt;w:sz w:val="26"/&gt;&lt;/w:rPr&gt;&lt;w:t xml:space="preserve"&gt;Cross-order consolidation&lt;/w:t&gt;&lt;/w:r&gt;</w:t>
      </w:r>
    </w:p>
    <w:p>
      <w:pPr>
        <w:spacing w:before="0" w:after="140" w:line="240" w:lineRule="auto"/>
      </w:pPr>
      <w:r>
        <w:rPr>
          <w:rFonts w:ascii="Calibri" w:hAnsi="Calibri" w:cs="Calibri"/>
          <w:sz w:val="20"/>
        </w:rPr>
        <w:t xml:space="preserve">tryActivateNextBatch() implements the brief’s "volume of the product, which defines batch sizes": it groups all PENDING orders by product, picks the product with the most total pending demand (ties broken by the oldest order), consolidates every pending order for that product into one new batch, and activates it in a single call — regardless of which customer each order came from. This is deliberately not triggered automatically inside submitOrder() itself; an explicit trigger (console ‘go’, or automatically at startup and after every drained batch) is required, because triggering on every single submission would activate the very first order solo before a second one had a chance to arrive and be pooled with it.</w:t>
      </w:r>
    </w:p>
    <w:p>
      <w:pPr>
        <w:spacing w:before="0" w:after="180" w:line="240" w:lineRule="auto"/>
      </w:pPr>
      <w:r>
        <w:rPr>
          <w:rFonts w:ascii="Calibri" w:hAnsi="Calibri" w:cs="Calibri"/>
          <w:sz w:val="20"/>
        </w:rPr>
        <w:t xml:space="preserve">Every database call in this layer — order submission, batch activation checks, and processing a drained batch — is handed to one dedicated background thread, DbWorker (a BlockingQueue&amp;lt;Runnable&amp;gt; drained by a single worker thread), and the calling method returns immediately. This is a deliberate architectural choice, not an incidental one: IntegratedCoordinator’s own tick() is explicitly documented as non-blocking, and the SystemJ tick thread that drives every clock domain’s reactions is shared — a synchronous JDBC call taking even a few milliseconds inside a reaction would stall every other reaction scheduled in that tick, with exactly the kind of knock-on effect that produced the TABLE_ALIGNMENT_TIMEOUT fault this group diagnosed earlier in development (traced to a stale process still holding the loopback ports, not a logic bug, but a concrete illustration of how sensitive the shared tick is to anything blocking on it).</w:t>
      </w:r>
    </w:p>
    <w:p>
      <w:pPr>
        <w:pStyle w:val="Heading1"/>
        <w:keepNext/>
        <w:pBdr>
          <w:bottom w:val="single" w:sz="6" w:space="4" w:color="999999"/>
        </w:pBdr>
        <w:spacing w:before="280" w:after="120" w:line="240" w:lineRule="auto"/>
      </w:pPr>
      <w:r>
        <w:rPr>
          <w:rFonts w:ascii="Calibri" w:hAnsi="Calibri" w:cs="Calibri"/>
          <w:sz w:val="20"/>
        </w:rPr>
        <w:t xml:space="preserve">&lt;w:r&gt;&lt;w:rPr&gt;&lt;w:rFonts w:ascii="Calibri" w:hAnsi="Calibri" w:cs="Calibri"/&gt;&lt;w:b/&gt;&lt;w:color w:val="1F3864"/&gt;&lt;w:sz w:val="32"/&gt;&lt;/w:rPr&gt;&lt;w:t xml:space="preserve"&gt;8. Purchase Order System — Graphical Front End&lt;/w:t&gt;&lt;/w:r&gt;</w:t>
      </w:r>
    </w:p>
    <w:p>
      <w:pPr>
        <w:spacing w:before="0" w:after="140" w:line="240" w:lineRule="auto"/>
      </w:pPr>
      <w:r>
        <w:rPr>
          <w:rFonts w:ascii="Calibri" w:hAnsi="Calibri" w:cs="Calibri"/>
          <w:sz w:val="20"/>
        </w:rPr>
        <w:t xml:space="preserve">The remaining gap after § 7 was presentation: the POS was fully functional but only reachable through a developer console, one field at a time — unrealistic for an actual customer and explicitly the reason the group brought this GUI into the final group deliverable rather than leaving it as an individual-project curiosity. PosGuiFrame (com.g7.ip.gui) is a Swing application constructed in-process and handed a direct reference to the already-running Batch Manager model — the same "one Java object behind a signal" pattern as every other clock domain in this project, and the same in-process construction pattern Eric’s own EabsDashboardPanel already uses for the production dashboard. No new inter-process communication, no second database connection, and (as no custom Swing Look-and-Feel is set anywhere in the project) the same plain Java "Metal" chrome the existing dashboard already renders in — titled-border panels, a plain JTable, and the exact READY / BUSY / DONE / FAULT / HOLDING colour palette EabsDashboardPanel already defines, reused meaningfully rather than invented afresh.</w:t>
      </w:r>
    </w:p>
    <w:p>
      <w:pPr>
        <w:spacing w:before="0" w:after="140" w:line="240" w:lineRule="auto"/>
      </w:pPr>
      <w:r>
        <w:rPr>
          <w:rFonts w:ascii="Calibri" w:hAnsi="Calibri" w:cs="Calibri"/>
          <w:b/>
          <w:sz w:val="20"/>
        </w:rPr>
        <w:t xml:space="preserve">Place Order </w:t>
      </w:r>
      <w:r>
        <w:rPr>
          <w:rFonts w:ascii="Calibri" w:hAnsi="Calibri" w:cs="Calibri"/>
          <w:sz w:val="20"/>
        </w:rPr>
        <w:t xml:space="preserve">is a cart: the operator adds any number of lines, each specifying only a bottle capacity, a liquid A/B percentage split, and a quantity. There is deliberately no product picker — the brief’s own definition (§ 4.2) is that a product IS its bottle size and liquid specification, not a separate choice layered on top of them, so asking the operator to pick a product and then a formulation would have been redundant. product_id is resolved automatically: deriveProductId(bottleSpec, doseA, doseB) derives a stable id directly from those three fields (e.g. FORM-500ML-60-40), so two lines with the identical capacity and mix always resolve to the same product/recipe rather than minting a duplicate, and — as a direct consequence, not a separate fix — this also keeps § 7’s "group PENDING orders by product_id" query exactly equivalent to "group by exact formulation" now that capacity and ratio are freely combinable, without any change to BatchManager itself. Each line is validated (doses in range, quantity positive), checked against the recipe catalogue and reused or newly created as appropriate, submitted as its own order with a generated PO reference, and — in this launch profile — activated as its own batch immediately.</w:t>
      </w:r>
    </w:p>
    <w:p>
      <w:pPr>
        <w:spacing w:before="0" w:after="160" w:line="240" w:lineRule="auto"/>
      </w:pPr>
      <w:r>
        <w:rPr>
          <w:rFonts w:ascii="Calibri" w:hAnsi="Calibri" w:cs="Calibri"/>
          <w:b/>
          <w:sz w:val="20"/>
        </w:rPr>
        <w:t xml:space="preserve">Track Order </w:t>
      </w:r>
      <w:r>
        <w:rPr>
          <w:rFonts w:ascii="Calibri" w:hAnsi="Calibri" w:cs="Calibri"/>
          <w:sz w:val="20"/>
        </w:rPr>
        <w:t xml:space="preserve">resolves a PO reference via a new query, Dao.findOrderStatus, that left-joins Orders through OrderBatches and Batches to report admission state, the assigned batch (if any), and how many of that order’s own bottles have completed — live, because the digital-twin pipeline described in § 5 is running in the same process and is what increments OrderBatches.completed_quantity as each bottle finishes.</w:t>
      </w:r>
    </w:p>
    <w:p>
      <w:pPr>
        <w:jc w:val="center"/>
        <w:spacing w:before="0" w:after="220" w:line="240" w:lineRule="auto"/>
      </w:pPr>
      <w:r>
        <w:rPr>
          <w:rFonts w:ascii="Calibri" w:hAnsi="Calibri" w:cs="Calibri"/>
          <w:sz w:val="20"/>
        </w:rPr>
        <w:t xml:space="preserve">&lt;w:r&gt;&lt;w:rPr&gt;&lt;w:rFonts w:ascii="Calibri" w:hAnsi="Calibri" w:cs="Calibri"/&gt;&lt;w:i/&gt;&lt;w:color w:val="555555"/&gt;&lt;w:sz w:val="19.0"/&gt;&lt;/w:rPr&gt;&lt;w:t xml:space="preserve"&gt;Figure 4. POS GUI screens (see § 12 for how to launch)&lt;/w:t&gt;&lt;/w:r&gt;</w:t>
      </w:r>
    </w:p>
    <w:tbl>
      <w:tblPr>
        <w:tblW w:w="9026" w:type="dxa"/>
        <w:tblBorders>
          <w:top w:val="single" w:sz="8" w:color="C9822B"/>
          <w:left w:val="single" w:sz="8" w:color="C9822B"/>
          <w:bottom w:val="single" w:sz="8" w:color="C9822B"/>
          <w:right w:val="single" w:sz="8" w:color="C9822B"/>
          <w:insideH w:val="single" w:sz="8" w:color="C9822B"/>
          <w:insideV w:val="single" w:sz="8" w:color="C9822B"/>
        </w:tblBorders>
        <w:tblLayout w:type="fixed"/>
      </w:tblPr>
      <w:tblGrid>
        <w:gridCol w:w="9026"/>
      </w:tblGrid>
      <w:tr>
        <w:trPr/>
        <w:tc>
          <w:tcPr>
            <w:tcW w:w="9026" w:type="dxa"/>
            <w:shd w:val="clear" w:color="auto" w:fill="FDEBD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xml:space="preserve"&gt;Place Order tab&lt;/w:t&gt;&lt;/w:r&gt;</w:t>
            </w:r>
          </w:p>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xml:space="preserve"&gt;Customer details  →  order-line table (capacity, A%, B%, qty, formulation status)  →  Submit&lt;/w:t&gt;&lt;/w:r&gt;</w:t>
            </w:r>
          </w:p>
        </w:tc>
      </w:tr>
    </w:tbl>
    <w:tbl>
      <w:tblPr>
        <w:tblW w:w="9026" w:type="dxa"/>
        <w:tblBorders>
          <w:top w:val="single" w:sz="8" w:color="C9822B"/>
          <w:left w:val="single" w:sz="8" w:color="C9822B"/>
          <w:bottom w:val="single" w:sz="8" w:color="C9822B"/>
          <w:right w:val="single" w:sz="8" w:color="C9822B"/>
          <w:insideH w:val="single" w:sz="8" w:color="C9822B"/>
          <w:insideV w:val="single" w:sz="8" w:color="C9822B"/>
        </w:tblBorders>
        <w:tblLayout w:type="fixed"/>
      </w:tblPr>
      <w:tblGrid>
        <w:gridCol w:w="9026"/>
      </w:tblGrid>
      <w:tr>
        <w:trPr/>
        <w:tc>
          <w:tcPr>
            <w:tcW w:w="9026" w:type="dxa"/>
            <w:shd w:val="clear" w:color="auto" w:fill="FDEBD3"/>
            <w:vAlign w:val="center"/>
            <w:tcMar>
              <w:top w:w="90" w:type="dxa"/>
              <w:bottom w:w="90" w:type="dxa"/>
              <w:left w:w="80" w:type="dxa"/>
              <w:right w:w="80" w:type="dxa"/>
            </w:tcMar>
          </w:tcPr>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xml:space="preserve"&gt;Track Order tab&lt;/w:t&gt;&lt;/w:r&gt;</w:t>
            </w:r>
          </w:p>
          <w:p>
            <w:pPr>
              <w:jc w:val="center"/>
              <w:spacing w:before="0" w:after="20" w:line="240" w:lineRule="auto"/>
            </w:pPr>
            <w:r>
              <w:rPr>
                <w:rFonts w:ascii="Calibri" w:hAnsi="Calibri" w:cs="Calibri"/>
                <w:sz w:val="20"/>
              </w:rPr>
              <w:t xml:space="preserve">&lt;w:r&gt;&lt;w:rPr&gt;&lt;w:rFonts w:ascii="Calibri" w:hAnsi="Calibri" w:cs="Calibri"/&gt;&lt;w:b/&gt;&lt;w:color w:val="1F3864"/&gt;&lt;w:sz w:val="19.0"/&gt;&lt;/w:rPr&gt;&lt;w:t xml:space="preserve"&gt;PO reference  →  status pill (PENDING / ADMITTED / COMPLETED)  →  progress bar  →  diagnostic note&lt;/w:t&gt;&lt;/w:r&gt;</w:t>
            </w:r>
          </w:p>
        </w:tc>
      </w:tr>
    </w:tbl>
    <w:p>
      <w:pPr>
        <w:pStyle w:val="Heading1"/>
        <w:keepNext/>
        <w:pBdr>
          <w:bottom w:val="single" w:sz="6" w:space="4" w:color="999999"/>
        </w:pBdr>
        <w:spacing w:before="280" w:after="120" w:line="240" w:lineRule="auto"/>
      </w:pPr>
      <w:r>
        <w:rPr>
          <w:rFonts w:ascii="Calibri" w:hAnsi="Calibri" w:cs="Calibri"/>
          <w:sz w:val="20"/>
        </w:rPr>
        <w:t xml:space="preserve">&lt;w:r&gt;&lt;w:rPr&gt;&lt;w:rFonts w:ascii="Calibri" w:hAnsi="Calibri" w:cs="Calibri"/&gt;&lt;w:b/&gt;&lt;w:color w:val="1F3864"/&gt;&lt;w:sz w:val="32"/&gt;&lt;/w:rPr&gt;&lt;w:t xml:space="preserve"&gt;9. Fault Handling and Power-Loss Recovery&lt;/w:t&gt;&lt;/w:r&gt;</w:t>
      </w:r>
    </w:p>
    <w:p>
      <w:pPr>
        <w:spacing w:before="0" w:after="140" w:line="240" w:lineRule="auto"/>
      </w:pPr>
      <w:r>
        <w:rPr>
          <w:rFonts w:ascii="Calibri" w:hAnsi="Calibri" w:cs="Calibri"/>
          <w:sz w:val="20"/>
        </w:rPr>
        <w:t xml:space="preserve">Two distinct failure scenarios are demonstrated end to end. First, a genuine device fault: with -Dcoordinator.testLidFault=true (a simulation-only flag, following the same explicit-opt-in convention as § 4.2’s FlatFinishingShim), the lid loader plant reports a simulated jam. IntegratedCoordinator’s fail() puts the whole line on HOLD (FAULT|batch|LID_PLANT_SIMULATED_JAM) and — via the same TwinEventBus hook used for every other transition — the persistence layer’s DigitalTwinAssembler.onFieldChange() sees the FAULT status and calls Dao.insertFault(), so the fault is visible in the Faults table, not only in a console log line.</w:t>
      </w:r>
    </w:p>
    <w:p>
      <w:pPr>
        <w:spacing w:before="0" w:after="180" w:line="240" w:lineRule="auto"/>
      </w:pPr>
      <w:r>
        <w:rPr>
          <w:rFonts w:ascii="Calibri" w:hAnsi="Calibri" w:cs="Calibri"/>
          <w:sz w:val="20"/>
        </w:rPr>
        <w:t xml:space="preserve">Second, an abrupt process interruption (simulating a power loss). On construction — before it checks for any new pending demand — IpBatchManagerModel queries for any batch still RUNNING; at that point in a freshly started process this can only mean a previous process was killed before draining it. Every bottle in that batch with no terminal DONE at the unloader is marked ABORTED and the batch itself is closed as FAULT. This fixed a genuine, pre-existing bug in Dao.markBottleAborted(): the original implementation was UPDATE BottleEvents SET status='ABORTED' WHERE status&amp;lt;&amp;gt;'DONE', which touches nothing for a bottle whose only rows are legitimate intermediate DONE events (the normal case for a bottle interrupted mid-route) — because that WHERE clause excludes exactly those rows. Since BottleEvents is append-only by design, the fix reads the bottle’s last known context and appends a new ABORTED row instead of trying to rewrite history that was never wrong. A second, related gap was fixed in the same pass: nothing previously called Dao.completeBatch() on a normal DRAINED result, so a successfully finished batch’s status stayed RUNNING forever — which would otherwise have made this exact recovery check unable to distinguish a genuinely stale batch from one that simply finished normally.</w:t>
      </w:r>
    </w:p>
    <w:p>
      <w:pPr>
        <w:pStyle w:val="Heading1"/>
        <w:keepNext/>
        <w:pBdr>
          <w:bottom w:val="single" w:sz="6" w:space="4" w:color="999999"/>
        </w:pBdr>
        <w:spacing w:before="280" w:after="120" w:line="240" w:lineRule="auto"/>
      </w:pPr>
      <w:r>
        <w:rPr>
          <w:rFonts w:ascii="Calibri" w:hAnsi="Calibri" w:cs="Calibri"/>
          <w:sz w:val="20"/>
        </w:rPr>
        <w:t xml:space="preserve">&lt;w:r&gt;&lt;w:rPr&gt;&lt;w:rFonts w:ascii="Calibri" w:hAnsi="Calibri" w:cs="Calibri"/&gt;&lt;w:b/&gt;&lt;w:color w:val="1F3864"/&gt;&lt;w:sz w:val="32"/&gt;&lt;/w:rPr&gt;&lt;w:t xml:space="preserve"&gt;10. Compendium — Deviations from the Initial Specification&lt;/w:t&gt;&lt;/w:r&gt;</w:t>
      </w:r>
    </w:p>
    <w:p>
      <w:pPr>
        <w:spacing w:before="0" w:after="120" w:line="240" w:lineRule="auto"/>
      </w:pPr>
      <w:r>
        <w:rPr>
          <w:rFonts w:ascii="Calibri" w:hAnsi="Calibri" w:cs="Calibri"/>
          <w:sz w:val="20"/>
        </w:rPr>
        <w:t xml:space="preserve">This section records, honestly, where the implementation differs from or falls short of the brief’s initial specification, as the brief’s Milestone 2 deliverables explicitly ask for.</w:t>
      </w:r>
    </w:p>
    <w:p>
      <w:pPr>
        <w:ind w:left="460" w:hanging="260"/>
        <w:spacing w:before="0" w:after="60" w:line="240" w:lineRule="auto"/>
      </w:pPr>
      <w:r>
        <w:rPr>
          <w:rFonts w:ascii="Calibri" w:hAnsi="Calibri" w:cs="Calibri"/>
          <w:sz w:val="20"/>
        </w:rPr>
        <w:t xml:space="preserve">–  </w:t>
      </w:r>
      <w:r>
        <w:rPr>
          <w:rFonts w:ascii="Calibri" w:hAnsi="Calibri" w:cs="Calibri"/>
          <w:b/>
          <w:sz w:val="20"/>
        </w:rPr>
        <w:t xml:space="preserve">Rotary table occupancy is not physically sensed. </w:t>
      </w:r>
      <w:r>
        <w:rPr>
          <w:rFonts w:ascii="Calibri" w:hAnsi="Calibri" w:cs="Calibri"/>
          <w:sz w:val="20"/>
        </w:rPr>
        <w:t xml:space="preserve">RotaryTablePlant maintains a 6-character occupancy bitstring but never sets any bit to 1 — the coordinator and tracker own logical occupancy in software, and only the alignment event itself is used to confirm the table’s index. The plant’s own mask must not be read as a measured bottle-presence signal.</w:t>
      </w:r>
    </w:p>
    <w:p>
      <w:pPr>
        <w:ind w:left="460" w:hanging="260"/>
        <w:spacing w:before="0" w:after="60" w:line="240" w:lineRule="auto"/>
      </w:pPr>
      <w:r>
        <w:rPr>
          <w:rFonts w:ascii="Calibri" w:hAnsi="Calibri" w:cs="Calibri"/>
          <w:sz w:val="20"/>
        </w:rPr>
        <w:t xml:space="preserve">–  </w:t>
      </w:r>
      <w:r>
        <w:rPr>
          <w:rFonts w:ascii="Calibri" w:hAnsi="Calibri" w:cs="Calibri"/>
          <w:b/>
          <w:sz w:val="20"/>
        </w:rPr>
        <w:t xml:space="preserve">Filler measurements are commanded, not independently measured. </w:t>
      </w:r>
      <w:r>
        <w:rPr>
          <w:rFonts w:ascii="Calibri" w:hAnsi="Calibri" w:cs="Calibri"/>
          <w:sz w:val="20"/>
        </w:rPr>
        <w:t xml:space="preserve">The filler’s DONE evidence currently echoes the requested liquid-A/liquid-B quantities rather than an independently sensed fill level, and the controller receives but does not yet validate the dose1Done/dose2Done booleans it is given. WorkpieceTracker’s refusal to substitute zero for a missing measurement (§ 5) is the mitigation already in place; a real independent level sensor is future work.</w:t>
      </w:r>
    </w:p>
    <w:p>
      <w:pPr>
        <w:ind w:left="460" w:hanging="260"/>
        <w:spacing w:before="0" w:after="60" w:line="240" w:lineRule="auto"/>
      </w:pPr>
      <w:r>
        <w:rPr>
          <w:rFonts w:ascii="Calibri" w:hAnsi="Calibri" w:cs="Calibri"/>
          <w:sz w:val="20"/>
        </w:rPr>
        <w:t xml:space="preserve">–  </w:t>
      </w:r>
      <w:r>
        <w:rPr>
          <w:rFonts w:ascii="Calibri" w:hAnsi="Calibri" w:cs="Calibri"/>
          <w:b/>
          <w:sz w:val="20"/>
        </w:rPr>
        <w:t xml:space="preserve">No hardware STOP/PERMIT/RESET handshake. </w:t>
      </w:r>
      <w:r>
        <w:rPr>
          <w:rFonts w:ascii="Calibri" w:hAnsi="Calibri" w:cs="Calibri"/>
          <w:sz w:val="20"/>
        </w:rPr>
        <w:t xml:space="preserve">The flat ACTIVATE/BatchDrained protocol has no active emergency-stop line; HOLD is a controlled, orderly stop reachable only through the fault paths in § 3 and § 6, not an interrupt-driven hardware e-stop.</w:t>
      </w:r>
    </w:p>
    <w:p>
      <w:pPr>
        <w:ind w:left="460" w:hanging="260"/>
        <w:spacing w:before="0" w:after="60" w:line="240" w:lineRule="auto"/>
      </w:pPr>
      <w:r>
        <w:rPr>
          <w:rFonts w:ascii="Calibri" w:hAnsi="Calibri" w:cs="Calibri"/>
          <w:sz w:val="20"/>
        </w:rPr>
        <w:t xml:space="preserve">–  </w:t>
      </w:r>
      <w:r>
        <w:rPr>
          <w:rFonts w:ascii="Calibri" w:hAnsi="Calibri" w:cs="Calibri"/>
          <w:b/>
          <w:sz w:val="20"/>
        </w:rPr>
        <w:t xml:space="preserve">One batch/recipe globally at a time. </w:t>
      </w:r>
      <w:r>
        <w:rPr>
          <w:rFonts w:ascii="Calibri" w:hAnsi="Calibri" w:cs="Calibri"/>
          <w:sz w:val="20"/>
        </w:rPr>
        <w:t xml:space="preserve">IntegratedCoordinator holds exactly one batch’s recipe/dose pair at once and requires the whole line to drain before the next batch starts, even between two batches that happen to want the identical formulation. § 7’s cross-order consolidation exists specifically to reduce how often that drain-and-restart cost is paid, by merging same-formulation demand into one continuous batch rather than several small sequential ones.</w:t>
      </w:r>
    </w:p>
    <w:p>
      <w:pPr>
        <w:ind w:left="460" w:hanging="260"/>
        <w:spacing w:before="0" w:after="60" w:line="240" w:lineRule="auto"/>
      </w:pPr>
      <w:r>
        <w:rPr>
          <w:rFonts w:ascii="Calibri" w:hAnsi="Calibri" w:cs="Calibri"/>
          <w:sz w:val="20"/>
        </w:rPr>
        <w:t xml:space="preserve">–  </w:t>
      </w:r>
      <w:r>
        <w:rPr>
          <w:rFonts w:ascii="Calibri" w:hAnsi="Calibri" w:cs="Calibri"/>
          <w:b/>
          <w:sz w:val="20"/>
        </w:rPr>
        <w:t xml:space="preserve">No physical per-order sorting at the unloader. </w:t>
      </w:r>
      <w:r>
        <w:rPr>
          <w:rFonts w:ascii="Calibri" w:hAnsi="Calibri" w:cs="Calibri"/>
          <w:sz w:val="20"/>
        </w:rPr>
        <w:t xml:space="preserve">All completed bottles funnel to one Location.OUTPUT_COLLECTION point regardless of which order they fulfil; which bottle counts against which customer’s PO is resolved entirely in the database (OrderBatches.completed_quantity), not by a physical diverter mechanism.</w:t>
      </w:r>
    </w:p>
    <w:p>
      <w:pPr>
        <w:ind w:left="460" w:hanging="260"/>
        <w:spacing w:before="0" w:after="60" w:line="240" w:lineRule="auto"/>
      </w:pPr>
      <w:r>
        <w:rPr>
          <w:rFonts w:ascii="Calibri" w:hAnsi="Calibri" w:cs="Calibri"/>
          <w:sz w:val="20"/>
        </w:rPr>
        <w:t xml:space="preserve">–  </w:t>
      </w:r>
      <w:r>
        <w:rPr>
          <w:rFonts w:ascii="Calibri" w:hAnsi="Calibri" w:cs="Calibri"/>
          <w:b/>
          <w:sz w:val="20"/>
        </w:rPr>
        <w:t xml:space="preserve">Digital-twin persistence is process-scoped by design choice, not by SystemJ. </w:t>
      </w:r>
      <w:r>
        <w:rPr>
          <w:rFonts w:ascii="Calibri" w:hAnsi="Calibri" w:cs="Calibri"/>
          <w:sz w:val="20"/>
        </w:rPr>
        <w:t xml:space="preserve">TwinEventBus and the DB Worker are plain Java constructs local to one OS process; a deployment that split the Coordinator and the POS across SystemJ’s distributed execution platform would need a networked equivalent, which was judged out of scope for a desktop-simulated final milestone.</w:t>
      </w:r>
    </w:p>
    <w:p>
      <w:pPr>
        <w:spacing w:before="0" w:after="60" w:line="240" w:lineRule="auto"/>
      </w:pPr>
      <w:r>
        <w:rPr>
          <w:rFonts w:ascii="Calibri" w:hAnsi="Calibri" w:cs="Calibri"/>
          <w:sz w:val="20"/>
        </w:rPr>
        <w:t xml:space="preserve"> </w:t>
      </w:r>
    </w:p>
    <w:p>
      <w:pPr>
        <w:pStyle w:val="Heading1"/>
        <w:keepNext/>
        <w:pBdr>
          <w:bottom w:val="single" w:sz="6" w:space="4" w:color="999999"/>
        </w:pBdr>
        <w:spacing w:before="280" w:after="120" w:line="240" w:lineRule="auto"/>
      </w:pPr>
      <w:r>
        <w:rPr>
          <w:rFonts w:ascii="Calibri" w:hAnsi="Calibri" w:cs="Calibri"/>
          <w:sz w:val="20"/>
        </w:rPr>
        <w:t xml:space="preserve">&lt;w:r&gt;&lt;w:rPr&gt;&lt;w:rFonts w:ascii="Calibri" w:hAnsi="Calibri" w:cs="Calibri"/&gt;&lt;w:b/&gt;&lt;w:color w:val="1F3864"/&gt;&lt;w:sz w:val="32"/&gt;&lt;/w:rPr&gt;&lt;w:t xml:space="preserve"&gt;11. Task Allocation&lt;/w:t&gt;&lt;/w:r&gt;</w:t>
      </w:r>
    </w:p>
    <w:p>
      <w:pPr>
        <w:spacing w:before="0" w:after="120" w:line="240" w:lineRule="auto"/>
      </w:pPr>
      <w:r>
        <w:rPr>
          <w:rFonts w:ascii="Calibri" w:hAnsi="Calibri" w:cs="Calibri"/>
          <w:sz w:val="20"/>
        </w:rPr>
        <w:t xml:space="preserve">The table below reflects code and git-history ownership at the time of writing; the group should confirm and adjust it — in particular Tony’s and Eric’s exact scope — to match the peer-assessment submission, since this report was drafted primarily from the Coordinator/IP side of the codebase.</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1400"/>
        <w:gridCol w:w="3000"/>
        <w:gridCol w:w="4626"/>
      </w:tblGrid>
      <w:tr>
        <w:trPr>
          <w:tblHeader/>
        </w:trPr>
        <w:tc>
          <w:tcPr>
            <w:tcW w:w="14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w:cs="Calibri"/&gt;&lt;w:b/&gt;&lt;w:color w:val="FFFFFF"/&gt;&lt;w:sz w:val="19.0"/&gt;&lt;/w:rPr&gt;&lt;w:t xml:space="preserve"&gt;Member&lt;/w:t&gt;&lt;/w:r&gt;</w:t>
            </w:r>
          </w:p>
        </w:tc>
        <w:tc>
          <w:tcPr>
            <w:tcW w:w="30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w:cs="Calibri"/&gt;&lt;w:b/&gt;&lt;w:color w:val="FFFFFF"/&gt;&lt;w:sz w:val="19.0"/&gt;&lt;/w:rPr&gt;&lt;w:t xml:space="preserve"&gt;Primary responsibility&lt;/w:t&gt;&lt;/w:r&gt;</w:t>
            </w:r>
          </w:p>
        </w:tc>
        <w:tc>
          <w:tcPr>
            <w:tcW w:w="4626"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w:cs="Calibri"/&gt;&lt;w:b/&gt;&lt;w:color w:val="FFFFFF"/&gt;&lt;w:sz w:val="19.0"/&gt;&lt;/w:rPr&gt;&lt;w:t xml:space="preserve"&gt;Key artefacts&lt;/w:t&gt;&lt;/w:r&gt;</w:t>
            </w:r>
          </w:p>
        </w:tc>
      </w:tr>
      <w:tr>
        <w:tc>
          <w:tcPr>
            <w:tcW w:w="14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xml:space="preserve"&gt;Tonny&lt;/w:t&gt;&lt;/w:r&gt;</w:t>
            </w:r>
          </w:p>
        </w:tc>
        <w:tc>
          <w:tcPr>
            <w:tcW w:w="30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xml:space="preserve"&gt;Physical transport/filling stations&lt;/w:t&gt;&lt;/w:r&gt;</w:t>
            </w:r>
          </w:p>
        </w:tc>
        <w:tc>
          <w:tcPr>
            <w:tcW w:w="46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xml:space="preserve"&gt;BottleLoaderController/Plant, ConveyorController/Plant, RotaryTableController/Plant, TwoLiquidFillerController/Plant&lt;/w:t&gt;&lt;/w:r&gt;</w:t>
            </w:r>
          </w:p>
        </w:tc>
      </w:tr>
      <w:tr>
        <w:tc>
          <w:tcPr>
            <w:tcW w:w="14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xml:space="preserve"&gt;Eric&lt;/w:t&gt;&lt;/w:r&gt;</w:t>
            </w:r>
          </w:p>
        </w:tc>
        <w:tc>
          <w:tcPr>
            <w:tcW w:w="30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xml:space="preserve"&gt;Finishing stations, tracking, live GUI&lt;/w:t&gt;&lt;/w:r&gt;</w:t>
            </w:r>
          </w:p>
        </w:tc>
        <w:tc>
          <w:tcPr>
            <w:tcW w:w="46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xml:space="preserve"&gt;FinishingWire, FlatFinishingShim, WorkpieceTracker, RecoverableFileWorkpieceRepository, EabsDashboardPanel&lt;/w:t&gt;&lt;/w:r&gt;</w:t>
            </w:r>
          </w:p>
        </w:tc>
      </w:tr>
      <w:tr>
        <w:tc>
          <w:tcPr>
            <w:tcW w:w="14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xml:space="preserve"&gt;Tony&lt;/w:t&gt;&lt;/w:r&gt;</w:t>
            </w:r>
          </w:p>
        </w:tc>
        <w:tc>
          <w:tcPr>
            <w:tcW w:w="30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xml:space="preserve"&gt;POS/Batch Manager conceptual design&lt;/w:t&gt;&lt;/w:r&gt;</w:t>
            </w:r>
          </w:p>
        </w:tc>
        <w:tc>
          <w:tcPr>
            <w:tcW w:w="46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xml:space="preserve"&gt;ACTIVATE/BatchDrained signal contract; POS_BatchManager_Spec (consolidation algorithm adopted in § 7)&lt;/w:t&gt;&lt;/w:r&gt;</w:t>
            </w:r>
          </w:p>
        </w:tc>
      </w:tr>
      <w:tr>
        <w:tc>
          <w:tcPr>
            <w:tcW w:w="14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xml:space="preserve"&gt;Zhiyuan&lt;/w:t&gt;&lt;/w:r&gt;</w:t>
            </w:r>
          </w:p>
        </w:tc>
        <w:tc>
          <w:tcPr>
            <w:tcW w:w="30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xml:space="preserve"&gt;Coordinator, Safety Monitor, POS implementation&lt;/w:t&gt;&lt;/w:r&gt;</w:t>
            </w:r>
          </w:p>
        </w:tc>
        <w:tc>
          <w:tcPr>
            <w:tcW w:w="46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xml:space="preserve"&gt;IntegratedCoordinator, SafetyMonitorModel, com.g7.ip.* (Dao/POS/BatchManager/DbWorker), PosGuiFrame, DigitalTwinAssembler/DeviationDetector integration&lt;/w:t&gt;&lt;/w:r&gt;</w:t>
            </w:r>
          </w:p>
        </w:tc>
      </w:tr>
    </w:tbl>
    <w:p>
      <w:pPr>
        <w:pStyle w:val="Heading1"/>
        <w:keepNext/>
        <w:pBdr>
          <w:bottom w:val="single" w:sz="6" w:space="4" w:color="999999"/>
        </w:pBdr>
        <w:spacing w:before="280" w:after="120" w:line="240" w:lineRule="auto"/>
      </w:pPr>
      <w:r>
        <w:rPr>
          <w:rFonts w:ascii="Calibri" w:hAnsi="Calibri" w:cs="Calibri"/>
          <w:sz w:val="20"/>
        </w:rPr>
        <w:t xml:space="preserve">&lt;w:r&gt;&lt;w:rPr&gt;&lt;w:rFonts w:ascii="Calibri" w:hAnsi="Calibri" w:cs="Calibri"/&gt;&lt;w:b/&gt;&lt;w:color w:val="1F3864"/&gt;&lt;w:sz w:val="32"/&gt;&lt;/w:rPr&gt;&lt;w:t xml:space="preserve"&gt;12. User Guide — Building and Running the Simulation&lt;/w:t&gt;&lt;/w:r&gt;</w:t>
      </w:r>
    </w:p>
    <w:p>
      <w:pPr>
        <w:spacing w:before="0" w:after="100" w:line="240" w:lineRule="auto"/>
      </w:pPr>
      <w:r>
        <w:rPr>
          <w:rFonts w:ascii="Calibri" w:hAnsi="Calibri" w:cs="Calibri"/>
          <w:sz w:val="20"/>
        </w:rPr>
        <w:t xml:space="preserve">All steps are performed inside Eclipse; no PowerShell or external SystemJ compiler installation is required.</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Import both existing projects: Integration/Eric (project name Eric) and Integration/Zhiyuan (CoordinatorSystemJ).</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Refresh both projects (F5) and enable Project &gt; Build Automatically.</w:t>
      </w:r>
    </w:p>
    <w:p>
      <w:pPr>
        <w:ind w:left="460" w:hanging="260"/>
        <w:spacing w:before="0" w:after="60" w:line="240" w:lineRule="auto"/>
      </w:pPr>
      <w:r>
        <w:rPr>
          <w:rFonts w:ascii="Calibri" w:hAnsi="Calibri" w:cs="Calibri"/>
          <w:sz w:val="20"/>
        </w:rPr>
        <w:t xml:space="preserve">–  </w:t>
      </w:r>
      <w:r>
        <w:rPr>
          <w:rFonts w:ascii="Consolas" w:hAnsi="Consolas" w:cs="Consolas"/>
          <w:color w:val="1A1A1A"/>
          <w:sz w:val="19.0"/>
        </w:rPr>
        <w:t xml:space="preserve">Run &gt; Run Configurations &gt; Java Application &gt; BuildAll</w:t>
      </w:r>
      <w:r>
        <w:rPr>
          <w:rFonts w:ascii="Calibri" w:hAnsi="Calibri" w:cs="Calibri"/>
          <w:sz w:val="20"/>
        </w:rPr>
        <w:t xml:space="preserve"> — compiles Java helpers, invokes the SystemJ compiler, and compiles every generated clock-domain class. Wait for ECLIPSE SYSTEMJ BUILD PASSED.</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Press F5 again and let the ordinary Eclipse Java build finish; check the Problems view for errors.</w:t>
      </w:r>
    </w:p>
    <w:p>
      <w:pPr>
        <w:spacing w:before="100" w:after="80" w:line="240" w:lineRule="auto"/>
      </w:pPr>
      <w:r>
        <w:rPr>
          <w:rFonts w:ascii="Calibri" w:hAnsi="Calibri" w:cs="Calibri"/>
          <w:sz w:val="20"/>
        </w:rPr>
        <w:t xml:space="preserve">&lt;w:r&gt;&lt;w:rPr&gt;&lt;w:rFonts w:ascii="Calibri" w:hAnsi="Calibri" w:cs="Calibri"/&gt;&lt;w:b/&gt;&lt;w:sz w:val="20"/&gt;&lt;/w:rPr&gt;&lt;w:t xml:space="preserve"&gt;Launch configurations (Run &amp;gt; Run Configurations &amp;gt; Java Application):&lt;/w:t&gt;&lt;/w:r&gt;</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2600"/>
        <w:gridCol w:w="6426"/>
      </w:tblGrid>
      <w:tr>
        <w:trPr>
          <w:tblHeader/>
        </w:trPr>
        <w:tc>
          <w:tcPr>
            <w:tcW w:w="26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w:cs="Calibri"/&gt;&lt;w:b/&gt;&lt;w:color w:val="FFFFFF"/&gt;&lt;w:sz w:val="19.0"/&gt;&lt;/w:rPr&gt;&lt;w:t xml:space="preserve"&gt;Launch config&lt;/w:t&gt;&lt;/w:r&gt;</w:t>
            </w:r>
          </w:p>
        </w:tc>
        <w:tc>
          <w:tcPr>
            <w:tcW w:w="6426"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w:cs="Calibri"/&gt;&lt;w:b/&gt;&lt;w:color w:val="FFFFFF"/&gt;&lt;w:sz w:val="19.0"/&gt;&lt;/w:rPr&gt;&lt;w:t xml:space="preserve"&gt;What it demonstrates&lt;/w:t&gt;&lt;/w:r&gt;</w:t>
            </w:r>
          </w:p>
        </w:tc>
      </w:tr>
      <w:tr>
        <w:tc>
          <w:tcPr>
            <w:tcW w:w="26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xml:space="preserve"&gt;RunCoordinator&lt;/w:t&gt;&lt;/w:r&gt;</w:t>
            </w:r>
          </w:p>
        </w:tc>
        <w:tc>
          <w:tcPr>
            <w:tcW w:w="64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xml:space="preserve"&gt;Baseline scripted 8+2 bottle test batches, GUI visualisation&lt;/w:t&gt;&lt;/w:r&gt;</w:t>
            </w:r>
          </w:p>
        </w:tc>
      </w:tr>
      <w:tr>
        <w:tc>
          <w:tcPr>
            <w:tcW w:w="26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xml:space="preserve"&gt;RunCoordinatorReal&lt;/w:t&gt;&lt;/w:r&gt;</w:t>
            </w:r>
          </w:p>
        </w:tc>
        <w:tc>
          <w:tcPr>
            <w:tcW w:w="64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xml:space="preserve"&gt;Interactive console order entry (BatchManagerCD) — the original developer test harness&lt;/w:t&gt;&lt;/w:r&gt;</w:t>
            </w:r>
          </w:p>
        </w:tc>
      </w:tr>
      <w:tr>
        <w:tc>
          <w:tcPr>
            <w:tcW w:w="26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xml:space="preserve"&gt;RunCoordinatorFault&lt;/w:t&gt;&lt;/w:r&gt;</w:t>
            </w:r>
          </w:p>
        </w:tc>
        <w:tc>
          <w:tcPr>
            <w:tcW w:w="64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xml:space="preserve"&gt;Real-device fault harness&lt;/w:t&gt;&lt;/w:r&gt;</w:t>
            </w:r>
          </w:p>
        </w:tc>
      </w:tr>
      <w:tr>
        <w:tc>
          <w:tcPr>
            <w:tcW w:w="26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xml:space="preserve"&gt;RunCoordinatorGpPos&lt;/w:t&gt;&lt;/w:r&gt;</w:t>
            </w:r>
          </w:p>
        </w:tc>
        <w:tc>
          <w:tcPr>
            <w:tcW w:w="64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xml:space="preserve"&gt;Persistence-backed POS, console entry, immediate single-order activation&lt;/w:t&gt;&lt;/w:r&gt;</w:t>
            </w:r>
          </w:p>
        </w:tc>
      </w:tr>
      <w:tr>
        <w:tc>
          <w:tcPr>
            <w:tcW w:w="2600"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xml:space="preserve"&gt;RunCoordinatorPosGui&lt;/w:t&gt;&lt;/w:r&gt;</w:t>
            </w:r>
          </w:p>
        </w:tc>
        <w:tc>
          <w:tcPr>
            <w:tcW w:w="6426" w:type="dxa"/>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xml:space="preserve"&gt;The Swing POS GUI (§ 8) — -Dip.gui=true -Dip.autoActivate=true&lt;/w:t&gt;&lt;/w:r&gt;</w:t>
            </w:r>
          </w:p>
        </w:tc>
      </w:tr>
      <w:tr>
        <w:tc>
          <w:tcPr>
            <w:tcW w:w="26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xml:space="preserve"&gt;VerifyIntegration&lt;/w:t&gt;&lt;/w:r&gt;</w:t>
            </w:r>
          </w:p>
        </w:tc>
        <w:tc>
          <w:tcPr>
            <w:tcW w:w="64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sz w:val="20"/>
              </w:rPr>
              <w:t xml:space="preserve">&lt;w:r&gt;&lt;w:rPr&gt;&lt;w:rFonts w:ascii="Calibri" w:hAnsi="Calibri" w:cs="Calibri"/&gt;&lt;w:color w:val="000000"/&gt;&lt;w:sz w:val="19.0"/&gt;&lt;/w:rPr&gt;&lt;w:t xml:space="preserve"&gt;Fresh build plus all model/runtime/archive/fault checks&lt;/w:t&gt;&lt;/w:r&gt;</w:t>
            </w:r>
          </w:p>
        </w:tc>
      </w:tr>
    </w:tbl>
    <w:p>
      <w:pPr>
        <w:spacing w:before="0" w:after="180" w:line="240" w:lineRule="auto"/>
      </w:pPr>
      <w:r>
        <w:rPr>
          <w:rFonts w:ascii="Calibri" w:hAnsi="Calibri" w:cs="Calibri"/>
          <w:sz w:val="20"/>
        </w:rPr>
        <w:t xml:space="preserve">Only one simulation may bind the shared loopback ports (30101–30103) at a time — terminate any previous run from its Eclipse Console before starting another. For RunCoordinatorPosGui, use the "Place Order" tab to add one or more lines (capacity, liquid A/B percentages, quantity) and click Submit; switch to "Track Order" and enter the printed PO reference to watch it move from PENDING to ADMITTED to COMPLETED as the batch runs.</w:t>
      </w:r>
    </w:p>
    <w:p>
      <w:pPr>
        <w:pStyle w:val="Heading1"/>
        <w:keepNext/>
        <w:pBdr>
          <w:bottom w:val="single" w:sz="6" w:space="4" w:color="999999"/>
        </w:pBdr>
        <w:spacing w:before="280" w:after="120" w:line="240" w:lineRule="auto"/>
      </w:pPr>
      <w:r>
        <w:rPr>
          <w:rFonts w:ascii="Calibri" w:hAnsi="Calibri" w:cs="Calibri"/>
          <w:sz w:val="20"/>
        </w:rPr>
        <w:t xml:space="preserve">&lt;w:r&gt;&lt;w:rPr&gt;&lt;w:rFonts w:ascii="Calibri" w:hAnsi="Calibri" w:cs="Calibri"/&gt;&lt;w:b/&gt;&lt;w:color w:val="1F3864"/&gt;&lt;w:sz w:val="32"/&gt;&lt;/w:rPr&gt;&lt;w:t xml:space="preserve"&gt;13. Conclusion&lt;/w:t&gt;&lt;/w:r&gt;</w:t>
      </w:r>
    </w:p>
    <w:p>
      <w:pPr>
        <w:spacing w:before="0" w:after="200" w:line="240" w:lineRule="auto"/>
      </w:pPr>
      <w:r>
        <w:rPr>
          <w:rFonts w:ascii="Calibri" w:hAnsi="Calibri" w:cs="Calibri"/>
          <w:sz w:val="20"/>
        </w:rPr>
        <w:t xml:space="preserve">Group 7’s final design delivers a centralised-coordinator EABS integrating four physical transport/filling stations, four evidence-gated finishing stations, a digital-twin tracking layer, a three-command safety protocol, and — as the culmination of this milestone — a Purchase Order System that is no longer a scripted stand-in but a persistence-backed system with a graphical front end a customer could actually use. The system has been exercised end to end: normal production, cross-order batch consolidation, a real device fault reaching the Faults table, and recovery from an abrupt process interruption. § 10 records the specific points where the simulation still falls short of a hardware-qualified system — unsensed rotary occupancy, commanded (not independently measured) fill levels, and the absence of a hardware emergency-stop line chief among them — as concrete, honest scope for any continuation of this work.</w:t>
      </w:r>
    </w:p>
    <w:p>
      <w:pPr>
        <w:pStyle w:val="Heading1"/>
        <w:keepNext/>
        <w:pBdr>
          <w:bottom w:val="single" w:sz="6" w:space="4" w:color="999999"/>
        </w:pBdr>
        <w:spacing w:before="280" w:after="120" w:line="240" w:lineRule="auto"/>
      </w:pPr>
      <w:r>
        <w:rPr>
          <w:rFonts w:ascii="Calibri" w:hAnsi="Calibri" w:cs="Calibri"/>
          <w:sz w:val="20"/>
        </w:rPr>
        <w:t xml:space="preserve">&lt;w:r&gt;&lt;w:rPr&gt;&lt;w:rFonts w:ascii="Calibri" w:hAnsi="Calibri" w:cs="Calibri"/&gt;&lt;w:b/&gt;&lt;w:color w:val="1F3864"/&gt;&lt;w:sz w:val="32"/&gt;&lt;/w:rPr&gt;&lt;w:t xml:space="preserve"&gt;References&lt;/w:t&gt;&lt;/w:r&gt;</w:t>
      </w:r>
    </w:p>
    <w:p>
      <w:pPr>
        <w:ind w:left="360" w:hanging="360"/>
        <w:spacing w:before="0" w:after="90" w:line="240" w:lineRule="auto"/>
      </w:pPr>
      <w:r>
        <w:rPr>
          <w:rFonts w:ascii="Calibri" w:hAnsi="Calibri" w:cs="Calibri"/>
          <w:b/>
          <w:sz w:val="19.0"/>
        </w:rPr>
        <w:t xml:space="preserve">[1] </w:t>
      </w:r>
      <w:r>
        <w:rPr>
          <w:rFonts w:ascii="Calibri" w:hAnsi="Calibri" w:cs="Calibri"/>
          <w:sz w:val="19.0"/>
        </w:rPr>
        <w:t xml:space="preserve">COMPSYS 704-2026 Project 1: Designing Advanced Embedded Software Systems, GP and IP brief (revised 2026), University of Auckland.</w:t>
      </w:r>
    </w:p>
    <w:p>
      <w:pPr>
        <w:ind w:left="360" w:hanging="360"/>
        <w:spacing w:before="0" w:after="90" w:line="240" w:lineRule="auto"/>
      </w:pPr>
      <w:r>
        <w:rPr>
          <w:rFonts w:ascii="Calibri" w:hAnsi="Calibri" w:cs="Calibri"/>
          <w:b/>
          <w:sz w:val="19.0"/>
        </w:rPr>
        <w:t xml:space="preserve">[2] </w:t>
      </w:r>
      <w:r>
        <w:rPr>
          <w:rFonts w:ascii="Calibri" w:hAnsi="Calibri" w:cs="Calibri"/>
          <w:sz w:val="19.0"/>
        </w:rPr>
        <w:t xml:space="preserve">H. Park and Z. Salcic, Designing Software Systems Using SystemJ, Embedded Systems Research Group, ECSE Department, University of Auckland, 2019.</w:t>
      </w:r>
    </w:p>
    <w:p>
      <w:pPr>
        <w:ind w:left="360" w:hanging="360"/>
        <w:spacing w:before="0" w:after="90" w:line="240" w:lineRule="auto"/>
      </w:pPr>
      <w:r>
        <w:rPr>
          <w:rFonts w:ascii="Calibri" w:hAnsi="Calibri" w:cs="Calibri"/>
          <w:b/>
          <w:sz w:val="19.0"/>
        </w:rPr>
        <w:t xml:space="preserve">[3] </w:t>
      </w:r>
      <w:r>
        <w:rPr>
          <w:rFonts w:ascii="Calibri" w:hAnsi="Calibri" w:cs="Calibri"/>
          <w:sz w:val="19.0"/>
        </w:rPr>
        <w:t xml:space="preserve">A. Malik, Z. Salcic, P. S. Roop, and A. Girault, "SystemJ: A GALS language for system level design," Computer Languages, Systems and Structures, vol. 36, no. 4, pp. 317–344, 2010. doi:10.1016/j.cl.2010.01.001</w:t>
      </w:r>
    </w:p>
    <w:p>
      <w:pPr>
        <w:ind w:left="360" w:hanging="360"/>
        <w:spacing w:before="0" w:after="90" w:line="240" w:lineRule="auto"/>
      </w:pPr>
      <w:r>
        <w:rPr>
          <w:rFonts w:ascii="Calibri" w:hAnsi="Calibri" w:cs="Calibri"/>
          <w:b/>
          <w:sz w:val="19.0"/>
        </w:rPr>
        <w:t xml:space="preserve">[4] </w:t>
      </w:r>
      <w:r>
        <w:rPr>
          <w:rFonts w:ascii="Calibri" w:hAnsi="Calibri" w:cs="Calibri"/>
          <w:sz w:val="19.0"/>
        </w:rPr>
        <w:t xml:space="preserve">A. Malik, Z. Salcic, C. Chong, and J. Salman, "System-level approach to the design of a smart distributed surveillance system using SystemJ," ACM Transactions on Embedded Computing Systems (TECS), vol. 11, no. 4, 2012. doi:10.1145/2362336.2362344</w:t>
      </w:r>
    </w:p>
    <w:p>
      <w:pPr>
        <w:ind w:left="360" w:hanging="360"/>
        <w:spacing w:before="0" w:after="90" w:line="240" w:lineRule="auto"/>
      </w:pPr>
      <w:r>
        <w:rPr>
          <w:rFonts w:ascii="Calibri" w:hAnsi="Calibri" w:cs="Calibri"/>
          <w:b/>
          <w:sz w:val="19.0"/>
        </w:rPr>
        <w:t xml:space="preserve">[5] </w:t>
      </w:r>
      <w:r>
        <w:rPr>
          <w:rFonts w:ascii="Calibri" w:hAnsi="Calibri" w:cs="Calibri"/>
          <w:sz w:val="19.0"/>
        </w:rPr>
        <w:t xml:space="preserve">Group 7, COORDINATOR_INTEGRATION.md — internal integration handoff document, 704GP1/Integration/Zhiyuan, 13 September 2026.</w:t>
      </w:r>
    </w:p>
    <w:p>
      <w:pPr>
        <w:ind w:left="360" w:hanging="360"/>
        <w:spacing w:before="0" w:after="90" w:line="240" w:lineRule="auto"/>
      </w:pPr>
      <w:r>
        <w:rPr>
          <w:rFonts w:ascii="Calibri" w:hAnsi="Calibri" w:cs="Calibri"/>
          <w:b/>
          <w:sz w:val="19.0"/>
        </w:rPr>
        <w:t xml:space="preserve">[6] </w:t>
      </w:r>
      <w:r>
        <w:rPr>
          <w:rFonts w:ascii="Calibri" w:hAnsi="Calibri" w:cs="Calibri"/>
          <w:sz w:val="19.0"/>
        </w:rPr>
        <w:t xml:space="preserve">Group 7, TEAM_RUN_AND_NEXT_STEPS.md — internal team run-book, 704GP1/Integration, 2026.</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0"/>
        <w:lang w:val="en-NZ"/>
      </w:rPr>
    </w:rPrDefault>
  </w:docDefaults>
  <w:style w:type="paragraph" w:default="1" w:styleId="Normal">
    <w:name w:val="Normal"/>
    <w:pPr>
      <w:spacing w:after="120" w:line="240" w:lineRule="auto"/>
    </w:pPr>
  </w:style>
  <w:style w:type="paragraph" w:styleId="Heading1">
    <w:name w:val="heading 1"/>
    <w:basedOn w:val="Normal"/>
    <w:next w:val="Normal"/>
    <w:pPr>
      <w:keepNext/>
      <w:spacing w:before="280" w:after="120"/>
      <w:outlineLvl w:val="0"/>
    </w:pPr>
    <w:rPr>
      <w:b/>
      <w:sz w:val="32"/>
      <w:color w:val="1F3864"/>
    </w:rPr>
  </w:style>
  <w:style w:type="paragraph" w:styleId="Heading2">
    <w:name w:val="heading 2"/>
    <w:basedOn w:val="Normal"/>
    <w:next w:val="Normal"/>
    <w:pPr>
      <w:keepNext/>
      <w:spacing w:before="200" w:after="100"/>
      <w:outlineLvl w:val="1"/>
    </w:pPr>
    <w:rPr>
      <w:b/>
      <w:sz w:val="26"/>
      <w:color w:val="2E5395"/>
    </w:rPr>
  </w:style>
  <w:style w:type="paragraph" w:styleId="Heading3">
    <w:name w:val="heading 3"/>
    <w:basedOn w:val="Normal"/>
    <w:next w:val="Normal"/>
    <w:pPr>
      <w:keepNext/>
      <w:spacing w:before="160" w:after="80"/>
      <w:outlineLvl w:val="2"/>
    </w:pPr>
    <w:rPr>
      <w:b/>
      <w:sz w:val="23"/>
      <w:color w:val="1A1A1A"/>
    </w:rPr>
  </w:style>
  <w:style w:type="paragraph" w:styleId="Title">
    <w:name w:val="Title"/>
    <w:basedOn w:val="Normal"/>
    <w:pPr>
      <w:jc w:val="center"/>
      <w:spacing w:before="0" w:after="200"/>
    </w:pPr>
    <w:rPr>
      <w:b/>
      <w:sz w:val="40"/>
      <w:color w:val="1F386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Python OOXML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COMPSYS 704 Group Project Final Report</dc:title>
  <dc:creator>Group 7</dc:creator>
  <dc:subject>Advantech Extended Automated Bottling System</dc:subject>
</cp:coreProperties>
</file>