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60" w:line="240" w:lineRule="auto"/>
      </w:pPr>
      <w:r>
        <w:rPr>
          <w:rFonts w:ascii="Calibri" w:hAnsi="Calibri" w:cs="Calibri"/>
          <w:color w:val="555555"/>
          <w:sz w:val="26"/>
        </w:rPr>
        <w:t xml:space="preserve">COMPSYS 704 — Advanced Embedded Systems</w:t>
      </w:r>
    </w:p>
    <w:p>
      <w:pPr>
        <w:jc w:val="center"/>
        <w:spacing w:before="0" w:after="400" w:line="240" w:lineRule="auto"/>
      </w:pPr>
      <w:r>
        <w:rPr>
          <w:rFonts w:ascii="Calibri" w:hAnsi="Calibri" w:cs="Calibri"/>
          <w:color w:val="555555"/>
          <w:sz w:val="26"/>
        </w:rPr>
        <w:t xml:space="preserve">Project 1: Designing Advanced Embedded Software Systems</w:t>
      </w:r>
    </w:p>
    <w:p>
      <w:pPr>
        <w:jc w:val="center"/>
        <w:spacing w:before="0" w:after="60" w:line="240" w:lineRule="auto"/>
      </w:pPr>
      <w:r>
        <w:rPr>
          <w:rFonts w:ascii="Calibri" w:hAnsi="Calibri" w:cs="Calibri"/>
          <w:b/>
          <w:color w:val="1F3864"/>
          <w:sz w:val="60"/>
        </w:rPr>
        <w:t xml:space="preserve">Individual Project Final Report</w:t>
      </w:r>
    </w:p>
    <w:p>
      <w:pPr>
        <w:jc w:val="center"/>
        <w:spacing w:before="0" w:after="500" w:line="240" w:lineRule="auto"/>
      </w:pPr>
      <w:r>
        <w:rPr>
          <w:rFonts w:ascii="Calibri" w:hAnsi="Calibri" w:cs="Calibri"/>
          <w:b/>
          <w:color w:val="2E5395"/>
          <w:sz w:val="30"/>
        </w:rPr>
        <w:t xml:space="preserve">A Persistent Digital Twin for Workpiece Traceability, Recipe-Deviation Detection and Order Management in the EABS</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2400"/>
        <w:gridCol w:w="6626"/>
      </w:tblGrid>
      <w:tr>
        <w:trPr>
          <w:tblHeader/>
        </w:trPr>
        <w:tc>
          <w:tcPr>
            <w:tcW w:w="2400"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Item</w:t>
            </w:r>
          </w:p>
        </w:tc>
        <w:tc>
          <w:tcPr>
            <w:tcW w:w="6626" w:type="dxa"/>
            <w:shd w:val="clear" w:color="auto" w:fill="1F3864"/>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Detail</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Student</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Zhiyuan Fu (zfu276)</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Group Project team</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Group 7</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Milestone</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Milestone 2 — Final Design (Week 7)</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IP theme (brief § 4.1.3)</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Creation and use of digital twins of workpieces and product instances to enable tracking of the workpiece during production</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Companion document</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Group Project Final Report (Group 7) — describes the core EABS and POS</w:t>
            </w:r>
          </w:p>
        </w:tc>
      </w:tr>
      <w:tr>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Repository</w:t>
            </w:r>
          </w:p>
        </w:tc>
        <w:tc>
          <w:tcPr>
            <w:tcW w:w="66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704GP1 (git), module Integration/Zhiyuan</w:t>
            </w:r>
          </w:p>
        </w:tc>
      </w:tr>
    </w:tbl>
    <w:p>
      <w:pPr>
        <w:spacing w:before="0" w:after="120" w:line="240" w:lineRule="auto"/>
      </w:pPr>
      <w:r>
        <w:rPr>
          <w:rFonts w:ascii="Calibri" w:hAnsi="Calibri" w:cs="Calibri"/>
          <w:i/>
          <w:color w:val="8A6D00"/>
          <w:sz w:val="18"/>
        </w:rPr>
        <w:t xml:space="preserve">Screenshot placeholders are marked as blue boxes throughout. Replace each box with the corresponding capture before submission; suggested captions are given inside each box.</w:t>
      </w:r>
    </w:p>
    <w:p>
      <w:r>
        <w:br w:type="page"/>
      </w:r>
    </w:p>
    <w:p>
      <w:pPr>
        <w:pStyle w:val="Heading1"/>
        <w:keepNext/>
        <w:pBdr>
          <w:bottom w:val="single" w:sz="6" w:space="4" w:color="999999"/>
        </w:pBdr>
        <w:spacing w:before="280" w:after="120" w:line="240" w:lineRule="auto"/>
      </w:pPr>
      <w:r>
        <w:rPr>
          <w:rFonts w:ascii="Calibri" w:hAnsi="Calibri" w:cs="Calibri"/>
          <w:b/>
          <w:color w:val="1F3864"/>
          <w:sz w:val="32"/>
        </w:rPr>
        <w:t xml:space="preserve">Executive Summary</w:t>
      </w:r>
    </w:p>
    <w:p>
      <w:pPr>
        <w:spacing w:before="0" w:after="140" w:line="240" w:lineRule="auto"/>
      </w:pPr>
      <w:r>
        <w:rPr>
          <w:rFonts w:ascii="Calibri" w:hAnsi="Calibri" w:cs="Calibri"/>
          <w:sz w:val="20"/>
        </w:rPr>
        <w:t xml:space="preserve">The Group 7 Extended Automated Bottling System (EABS) tracks every bottle on the line, but it does so entirely in memory: when the simulation stops, the production record disappears with it. This Individual Project (IP) builds a persistent digital twin on top of that foundation. It observes the confirmed, evidence-based transitions the Production Coordinator already produces, assembles each bottle into a complete twin — linked to its order, product and recipe, and carrying its full station-by-station history — and persists that twin through JDBC into a six-table SQLite database that outlives the run which produced it.</w:t>
      </w:r>
    </w:p>
    <w:p>
      <w:pPr>
        <w:spacing w:before="0" w:after="140" w:line="240" w:lineRule="auto"/>
      </w:pPr>
      <w:r>
        <w:rPr>
          <w:rFonts w:ascii="Calibri" w:hAnsi="Calibri" w:cs="Calibri"/>
          <w:sz w:val="20"/>
        </w:rPr>
        <w:t xml:space="preserve">The central technical problem was not adding a database to a Java program. It was reconciling blocking, transactional persistence with SystemJ’s synchronous reaction semantics, in which a clock domain is expected to complete each reaction without unbounded delay. The Production Coordinator is the busiest clock domain in the system; a JDBC call on its tick thread would stall not one branch of the line but the entire line. The delivered design resolves this with a strict rule that no SystemJ-facing thread ever touches the database: a bounded, non-blocking in-memory bus carries events away from the Coordinator, and a single dedicated worker thread performs every read and write.</w:t>
      </w:r>
    </w:p>
    <w:p>
      <w:pPr>
        <w:spacing w:before="0" w:after="200" w:line="240" w:lineRule="auto"/>
      </w:pPr>
      <w:r>
        <w:rPr>
          <w:rFonts w:ascii="Calibri" w:hAnsi="Calibri" w:cs="Calibri"/>
          <w:sz w:val="20"/>
        </w:rPr>
        <w:t xml:space="preserve">Five capabilities were delivered on that base: full per-bottle traceability that survives restart; recipe-deviation detection against the expected station route; event-based recovery from an abrupt interruption, which reconciles bottles left open by a killed process or a safety halt; a queryable fault log with operator-recorded resolutions; and cross-order batch consolidation. The last of these is reported honestly as a negative result: it works, but the energy argument that originally motivated it did not survive scrutiny, and § 8 explains why.</w:t>
      </w:r>
    </w:p>
    <w:p>
      <w:pPr>
        <w:pStyle w:val="Heading1"/>
        <w:keepNext/>
        <w:pBdr>
          <w:bottom w:val="single" w:sz="6" w:space="4" w:color="999999"/>
        </w:pBdr>
        <w:spacing w:before="280" w:after="120" w:line="240" w:lineRule="auto"/>
      </w:pPr>
      <w:r>
        <w:rPr>
          <w:rFonts w:ascii="Calibri" w:hAnsi="Calibri" w:cs="Calibri"/>
          <w:b/>
          <w:color w:val="1F3864"/>
          <w:sz w:val="32"/>
        </w:rPr>
        <w:t xml:space="preserve">1. Introduction and Objectives</w:t>
      </w:r>
    </w:p>
    <w:p>
      <w:pPr>
        <w:spacing w:before="0" w:after="140" w:line="240" w:lineRule="auto"/>
      </w:pPr>
      <w:r>
        <w:rPr>
          <w:rFonts w:ascii="Calibri" w:hAnsi="Calibri" w:cs="Calibri"/>
          <w:sz w:val="20"/>
        </w:rPr>
        <w:t xml:space="preserve">The brief (§ 4.1.3) invites each student to extend the core ABS with an individually-owned enhancement, and lists among the examples the "creation and use of digital twins of workpieces and product instances to enable tracking of the workpiece during production", together with the "ability to track each workpiece as it undergoes production steps". This IP takes that direction.</w:t>
      </w:r>
    </w:p>
    <w:p>
      <w:pPr>
        <w:spacing w:before="0" w:after="140" w:line="240" w:lineRule="auto"/>
      </w:pPr>
      <w:r>
        <w:rPr>
          <w:rFonts w:ascii="Calibri" w:hAnsi="Calibri" w:cs="Calibri"/>
          <w:sz w:val="20"/>
        </w:rPr>
        <w:t xml:space="preserve">The Group Project (GP) already maintains a run-local twin. When the Bottle Loader admits a bottle, the Workpiece Tracker assigns it a workpieceId and maintains a small set of confirmed fields — identity, batch, location, current operation and status — updating each only once the responsible device controller confirms the corresponding transition. That tracker is deliberately a sensing and reporting component: it retains no history and performs no persistence of its own. It answers "where is this bottle now?" and nothing else.</w:t>
      </w:r>
    </w:p>
    <w:p>
      <w:pPr>
        <w:spacing w:before="0" w:after="140" w:line="240" w:lineRule="auto"/>
      </w:pPr>
      <w:r>
        <w:rPr>
          <w:rFonts w:ascii="Calibri" w:hAnsi="Calibri" w:cs="Calibri"/>
          <w:sz w:val="20"/>
        </w:rPr>
        <w:t xml:space="preserve">This IP answers the questions the GP cannot: where has this bottle been, which customer order does it belong to, which recipe was it built to, did it actually follow that recipe, and what happened to it if it never finished — and it answers them after the simulation has ended. The objectives set out in the Milestone-1 conceptual design report, and their final status, are:</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500"/>
        <w:gridCol w:w="5100"/>
        <w:gridCol w:w="3426"/>
      </w:tblGrid>
      <w:tr>
        <w:trPr>
          <w:tblHeader/>
        </w:trPr>
        <w:tc>
          <w:tcPr>
            <w:tcW w:w="500" w:type="dxa"/>
            <w:shd w:val="clear" w:color="auto" w:fill="2E5395"/>
            <w:vAlign w:val="center"/>
            <w:tcMar>
              <w:top w:w="60" w:type="dxa"/>
              <w:bottom w:w="60" w:type="dxa"/>
              <w:left w:w="90" w:type="dxa"/>
              <w:right w:w="90" w:type="dxa"/>
            </w:tcMar>
          </w:tcPr>
          <w:p>
            <w:pPr>
              <w:jc w:val="center"/>
              <w:spacing w:before="0" w:after="40" w:line="240" w:lineRule="auto"/>
            </w:pPr>
            <w:r>
              <w:rPr>
                <w:rFonts w:ascii="Calibri" w:hAnsi="Calibri" w:cs="Calibri"/>
                <w:b/>
                <w:color w:val="FFFFFF"/>
                <w:sz w:val="19.0"/>
              </w:rPr>
              <w:t xml:space="preserve">#</w:t>
            </w:r>
          </w:p>
        </w:tc>
        <w:tc>
          <w:tcPr>
            <w:tcW w:w="51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Objective (Milestone 1)</w:t>
            </w:r>
          </w:p>
        </w:tc>
        <w:tc>
          <w:tcPr>
            <w:tcW w:w="34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Status at Milestone 2</w:t>
            </w:r>
          </w:p>
        </w:tc>
      </w:tr>
      <w:tr>
        <w:tc>
          <w:tcPr>
            <w:tcW w:w="5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1</w:t>
            </w:r>
          </w:p>
        </w:tc>
        <w:tc>
          <w:tcPr>
            <w:tcW w:w="51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Assemble the GP’s per-bottle record into a complete digital twin: link each bottle to its order, product and recipe and build its full station-to-station history.</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Delivered (§ 4)</w:t>
            </w:r>
          </w:p>
        </w:tc>
      </w:tr>
      <w:tr>
        <w:tc>
          <w:tcPr>
            <w:tcW w:w="5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2</w:t>
            </w:r>
          </w:p>
        </w:tc>
        <w:tc>
          <w:tcPr>
            <w:tcW w:w="51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Design and implement a relational schema covering recipes, orders, batches, the order/batch linkage, the per-bottle twin history and device fault logs.</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Delivered, six tables (§ 5)</w:t>
            </w:r>
          </w:p>
        </w:tc>
      </w:tr>
      <w:tr>
        <w:tc>
          <w:tcPr>
            <w:tcW w:w="5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3</w:t>
            </w:r>
          </w:p>
        </w:tc>
        <w:tc>
          <w:tcPr>
            <w:tcW w:w="51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Design a non-blocking persistence path that never stalls the Production Coordinator.</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Delivered (§ 6)</w:t>
            </w:r>
          </w:p>
        </w:tc>
      </w:tr>
      <w:tr>
        <w:tc>
          <w:tcPr>
            <w:tcW w:w="5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4</w:t>
            </w:r>
          </w:p>
        </w:tc>
        <w:tc>
          <w:tcPr>
            <w:tcW w:w="51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Detect and flag recipe deviation against the expected station sequence and fault history.</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Delivered for stations and faults; liquid proportions not verifiable (§ 7, § 12)</w:t>
            </w:r>
          </w:p>
        </w:tc>
      </w:tr>
      <w:tr>
        <w:tc>
          <w:tcPr>
            <w:tcW w:w="5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5</w:t>
            </w:r>
          </w:p>
        </w:tc>
        <w:tc>
          <w:tcPr>
            <w:tcW w:w="51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Demonstrate cross-order batch consolidation to reduce recipe reconfiguration.</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Implemented, but rationale retracted (§ 8)</w:t>
            </w:r>
          </w:p>
        </w:tc>
      </w:tr>
      <w:tr>
        <w:tc>
          <w:tcPr>
            <w:tcW w:w="5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6</w:t>
            </w:r>
          </w:p>
        </w:tc>
        <w:tc>
          <w:tcPr>
            <w:tcW w:w="51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Demonstrate recovery from an abrupt interruption, and a queryable fault log.</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Delivered (§ 9, § 10)</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2. Scope: What Belongs to the IP and What Belongs to the GP</w:t>
      </w:r>
    </w:p>
    <w:p>
      <w:pPr>
        <w:spacing w:before="0" w:after="140" w:line="240" w:lineRule="auto"/>
      </w:pPr>
      <w:r>
        <w:rPr>
          <w:rFonts w:ascii="Calibri" w:hAnsi="Calibri" w:cs="Calibri"/>
          <w:sz w:val="20"/>
        </w:rPr>
        <w:t xml:space="preserve">Because this IP shares a process, a window and a database file with the group’s Purchase Order System, the boundary between the two needs to be stated explicitly rather than left to be inferred from the source tree.</w:t>
      </w:r>
    </w:p>
    <w:p>
      <w:pPr>
        <w:spacing w:before="0" w:after="140" w:line="240" w:lineRule="auto"/>
      </w:pPr>
      <w:r>
        <w:rPr>
          <w:rFonts w:ascii="Calibri" w:hAnsi="Calibri" w:cs="Calibri"/>
          <w:sz w:val="20"/>
        </w:rPr>
        <w:t xml:space="preserve">The decisive rule comes from the brief itself: "The POS System will be considered a part of the core ABS." Order entry is therefore a group deliverable, not an individual one, even though it was implemented by the same author as this IP and is described in § 7 and § 8 of the Group Project Final Report. Everything that exists only because production history is persisted is the IP.</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3400"/>
        <w:gridCol w:w="700"/>
        <w:gridCol w:w="4926"/>
      </w:tblGrid>
      <w:tr>
        <w:trPr>
          <w:tblHeader/>
        </w:trPr>
        <w:tc>
          <w:tcPr>
            <w:tcW w:w="3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Component</w:t>
            </w:r>
          </w:p>
        </w:tc>
        <w:tc>
          <w:tcPr>
            <w:tcW w:w="700" w:type="dxa"/>
            <w:shd w:val="clear" w:color="auto" w:fill="2E5395"/>
            <w:vAlign w:val="center"/>
            <w:tcMar>
              <w:top w:w="60" w:type="dxa"/>
              <w:bottom w:w="60" w:type="dxa"/>
              <w:left w:w="90" w:type="dxa"/>
              <w:right w:w="90" w:type="dxa"/>
            </w:tcMar>
          </w:tcPr>
          <w:p>
            <w:pPr>
              <w:jc w:val="center"/>
              <w:spacing w:before="0" w:after="40" w:line="240" w:lineRule="auto"/>
            </w:pPr>
            <w:r>
              <w:rPr>
                <w:rFonts w:ascii="Calibri" w:hAnsi="Calibri" w:cs="Calibri"/>
                <w:b/>
                <w:color w:val="FFFFFF"/>
                <w:sz w:val="19.0"/>
              </w:rPr>
              <w:t xml:space="preserve">Owner</w:t>
            </w:r>
          </w:p>
        </w:tc>
        <w:tc>
          <w:tcPr>
            <w:tcW w:w="49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Rationale</w:t>
            </w:r>
          </w:p>
        </w:tc>
      </w:tr>
      <w:tr>
        <w:tc>
          <w:tcPr>
            <w:tcW w:w="3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"Place Order" tab (POS order entry, cart, PO references)</w:t>
            </w:r>
          </w:p>
        </w:tc>
        <w:tc>
          <w:tcPr>
            <w:tcW w:w="7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GP</w:t>
            </w:r>
          </w:p>
        </w:tc>
        <w:tc>
          <w:tcPr>
            <w:tcW w:w="49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POS is core ABS per brief § 4.2. Covered by the GP report.</w:t>
            </w:r>
          </w:p>
        </w:tc>
      </w:tr>
      <w:tr>
        <w:tc>
          <w:tcPr>
            <w:tcW w:w="3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POS order validation and batch admission (POS, BatchManager)</w:t>
            </w:r>
          </w:p>
        </w:tc>
        <w:tc>
          <w:tcPr>
            <w:tcW w:w="7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GP</w:t>
            </w:r>
          </w:p>
        </w:tc>
        <w:tc>
          <w:tcPr>
            <w:tcW w:w="49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Core order-to-production path; the IP supplies the tables it writes to.</w:t>
            </w:r>
          </w:p>
        </w:tc>
      </w:tr>
      <w:tr>
        <w:tc>
          <w:tcPr>
            <w:tcW w:w="3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Six-table schema, JDBC layer (Db, Dao)</w:t>
            </w:r>
          </w:p>
        </w:tc>
        <w:tc>
          <w:tcPr>
            <w:tcW w:w="7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persistence layer itself, and the only place that knows the JDBC URL.</w:t>
            </w:r>
          </w:p>
        </w:tc>
      </w:tr>
      <w:tr>
        <w:tc>
          <w:tcPr>
            <w:tcW w:w="3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TwinEventBus, DigitalTwinAssembler, bottle_id minting</w:t>
            </w:r>
          </w:p>
        </w:tc>
        <w:tc>
          <w:tcPr>
            <w:tcW w:w="7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Assembles the durable twin from the GP’s confirmed transitions.</w:t>
            </w:r>
          </w:p>
        </w:tc>
      </w:tr>
      <w:tr>
        <w:tc>
          <w:tcPr>
            <w:tcW w:w="3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DbWorker and the non-blocking persistence discipline</w:t>
            </w:r>
          </w:p>
        </w:tc>
        <w:tc>
          <w:tcPr>
            <w:tcW w:w="7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IP’s central technical contribution (§ 6).</w:t>
            </w:r>
          </w:p>
        </w:tc>
      </w:tr>
      <w:tr>
        <w:tc>
          <w:tcPr>
            <w:tcW w:w="3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DeviationDetector</w:t>
            </w:r>
          </w:p>
        </w:tc>
        <w:tc>
          <w:tcPr>
            <w:tcW w:w="7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Requires the persisted history; impossible without it.</w:t>
            </w:r>
          </w:p>
        </w:tc>
      </w:tr>
      <w:tr>
        <w:tc>
          <w:tcPr>
            <w:tcW w:w="3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"Track Order" tab</w:t>
            </w:r>
          </w:p>
        </w:tc>
        <w:tc>
          <w:tcPr>
            <w:tcW w:w="7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Completion figures are derived from persisted BottleEvents and OrderBatches rows, not from any in-memory GP state.</w:t>
            </w:r>
          </w:p>
        </w:tc>
      </w:tr>
      <w:tr>
        <w:tc>
          <w:tcPr>
            <w:tcW w:w="3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"Track Bottle" tab (per-bottle journey view)</w:t>
            </w:r>
          </w:p>
        </w:tc>
        <w:tc>
          <w:tcPr>
            <w:tcW w:w="7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 direct rendering of the persisted twin.</w:t>
            </w:r>
          </w:p>
        </w:tc>
      </w:tr>
      <w:tr>
        <w:tc>
          <w:tcPr>
            <w:tcW w:w="3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"Faults History" tab and resolution recording</w:t>
            </w:r>
          </w:p>
        </w:tc>
        <w:tc>
          <w:tcPr>
            <w:tcW w:w="700" w:type="dxa"/>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IP</w:t>
            </w:r>
          </w:p>
        </w:tc>
        <w:tc>
          <w:tcPr>
            <w:tcW w:w="49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Reads and writes the IP’s Faults table.</w:t>
            </w:r>
          </w:p>
        </w:tc>
      </w:tr>
      <w:tr>
        <w:tc>
          <w:tcPr>
            <w:tcW w:w="3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Workpiece Tracker, Coordinator, station controllers, plant models, Safety Monitor</w:t>
            </w:r>
          </w:p>
        </w:tc>
        <w:tc>
          <w:tcPr>
            <w:tcW w:w="700" w:type="dxa"/>
            <w:shd w:val="clear" w:color="auto" w:fill="F2F4F7"/>
            <w:vAlign w:val="center"/>
            <w:tcMar>
              <w:top w:w="60" w:type="dxa"/>
              <w:bottom w:w="60" w:type="dxa"/>
              <w:left w:w="90" w:type="dxa"/>
              <w:right w:w="90" w:type="dxa"/>
            </w:tcMar>
          </w:tcPr>
          <w:p>
            <w:pPr>
              <w:jc w:val="center"/>
              <w:spacing w:before="0" w:after="40" w:line="240" w:lineRule="auto"/>
            </w:pPr>
            <w:r>
              <w:rPr>
                <w:rFonts w:ascii="Calibri" w:hAnsi="Calibri" w:cs="Calibri"/>
                <w:color w:val="000000"/>
                <w:sz w:val="19.0"/>
              </w:rPr>
              <w:t xml:space="preserve">GP</w:t>
            </w:r>
          </w:p>
        </w:tc>
        <w:tc>
          <w:tcPr>
            <w:tcW w:w="49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Unmodified by this IP except for the event-publication hook described in § 4.</w:t>
            </w:r>
          </w:p>
        </w:tc>
      </w:tr>
    </w:tbl>
    <w:tbl>
      <w:tblPr>
        <w:tblW w:w="9026" w:type="dxa"/>
        <w:tblBorders>
          <w:top w:val="single" w:sz="6" w:color="C9A227"/>
          <w:left w:val="single" w:sz="6" w:color="C9A227"/>
          <w:bottom w:val="single" w:sz="6" w:color="C9A227"/>
          <w:right w:val="single" w:sz="6" w:color="C9A227"/>
        </w:tblBorders>
        <w:tblLayout w:type="fixed"/>
      </w:tblPr>
      <w:tblGrid>
        <w:gridCol w:w="9026"/>
      </w:tblGrid>
      <w:tr>
        <w:tc>
          <w:tcPr>
            <w:tcW w:w="9026" w:type="dxa"/>
            <w:shd w:val="clear" w:color="auto" w:fill="FFF3CD"/>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One window, two owners. The four tabs share a single JFrame, a single IpBatchManagerModel, a single JDBC connection and a single database file, because splitting them would have meant two processes writing the same SQLite file. The first tab is the group’s POS; the remaining three are this IP. Eric’s EABS dashboard remains a separate, untouched window.</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3. Final Design Overview</w:t>
      </w:r>
    </w:p>
    <w:p>
      <w:pPr>
        <w:spacing w:before="0" w:after="140" w:line="240" w:lineRule="auto"/>
      </w:pPr>
      <w:r>
        <w:rPr>
          <w:rFonts w:ascii="Calibri" w:hAnsi="Calibri" w:cs="Calibri"/>
          <w:sz w:val="20"/>
        </w:rPr>
        <w:t xml:space="preserve">The IP adds components at two points of the GP architecture and changes nothing else. At the Coordinator end it adds a publication hook and a bounded event bus. Behind that bus sit the Digital Twin Assembler, the Deviation Detector, a single-threaded DB Worker and the SQLite database. The GUI tabs read from the same database through the same worker.</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3008"/>
        <w:gridCol w:w="3008"/>
        <w:gridCol w:w="3010"/>
      </w:tblGrid>
      <w:tr>
        <w:trPr/>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IntegratedCoordinator</w:t>
            </w:r>
          </w:p>
        </w:tc>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TwinEventBus</w:t>
            </w:r>
          </w:p>
        </w:tc>
        <w:tc>
          <w:tcPr>
            <w:tcW w:w="3010"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twin consumer thread</w:t>
            </w:r>
          </w:p>
        </w:tc>
      </w:tr>
    </w:tbl>
    <w:p>
      <w:pPr>
        <w:jc w:val="center"/>
        <w:spacing w:before="60" w:after="100" w:line="240" w:lineRule="auto"/>
      </w:pPr>
      <w:r>
        <w:rPr>
          <w:rFonts w:ascii="Calibri" w:hAnsi="Calibri" w:cs="Calibri"/>
          <w:b/>
          <w:color w:val="4472C4"/>
          <w:sz w:val="26"/>
        </w:rPr>
        <w:t xml:space="preserve">↓  confirmed transitions only</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4513"/>
        <w:gridCol w:w="4513"/>
      </w:tblGrid>
      <w:tr>
        <w:trPr/>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DigitalTwinAssembler</w:t>
            </w:r>
          </w:p>
        </w:tc>
        <w:tc>
          <w:tcPr>
            <w:tcW w:w="4513"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DeviationDetector</w:t>
            </w:r>
          </w:p>
        </w:tc>
      </w:tr>
    </w:tbl>
    <w:p>
      <w:pPr>
        <w:jc w:val="center"/>
        <w:spacing w:before="60" w:after="100" w:line="240" w:lineRule="auto"/>
      </w:pPr>
      <w:r>
        <w:rPr>
          <w:rFonts w:ascii="Calibri" w:hAnsi="Calibri" w:cs="Calibri"/>
          <w:b/>
          <w:color w:val="4472C4"/>
          <w:sz w:val="26"/>
        </w:rPr>
        <w:t xml:space="preserve">↓  Runnable submitted to the worker</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3008"/>
        <w:gridCol w:w="3008"/>
        <w:gridCol w:w="3010"/>
      </w:tblGrid>
      <w:tr>
        <w:trPr/>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DbWorker (one thread)</w:t>
            </w:r>
          </w:p>
        </w:tc>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Dao / JDBC</w:t>
            </w:r>
          </w:p>
        </w:tc>
        <w:tc>
          <w:tcPr>
            <w:tcW w:w="3010"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SQLite file</w:t>
            </w:r>
          </w:p>
        </w:tc>
      </w:tr>
    </w:tbl>
    <w:p>
      <w:pPr>
        <w:jc w:val="center"/>
        <w:spacing w:before="60" w:after="100" w:line="240" w:lineRule="auto"/>
      </w:pPr>
      <w:r>
        <w:rPr>
          <w:rFonts w:ascii="Calibri" w:hAnsi="Calibri" w:cs="Calibri"/>
          <w:b/>
          <w:color w:val="4472C4"/>
          <w:sz w:val="26"/>
        </w:rPr>
        <w:t xml:space="preserve">↓  queried by</w:t>
      </w:r>
    </w:p>
    <w:tbl>
      <w:tblPr>
        <w:tblW w:w="9026" w:type="dxa"/>
        <w:tblBorders>
          <w:top w:val="single" w:sz="8" w:color="4472C4"/>
          <w:left w:val="single" w:sz="8" w:color="4472C4"/>
          <w:bottom w:val="single" w:sz="8" w:color="4472C4"/>
          <w:right w:val="single" w:sz="8" w:color="4472C4"/>
          <w:insideH w:val="single" w:sz="8" w:color="4472C4"/>
          <w:insideV w:val="single" w:sz="8" w:color="4472C4"/>
        </w:tblBorders>
        <w:tblLayout w:type="fixed"/>
      </w:tblPr>
      <w:tblGrid>
        <w:gridCol w:w="3008"/>
        <w:gridCol w:w="3008"/>
        <w:gridCol w:w="3010"/>
      </w:tblGrid>
      <w:tr>
        <w:trPr/>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Track Order</w:t>
            </w:r>
          </w:p>
        </w:tc>
        <w:tc>
          <w:tcPr>
            <w:tcW w:w="3008"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Track Bottle</w:t>
            </w:r>
          </w:p>
        </w:tc>
        <w:tc>
          <w:tcPr>
            <w:tcW w:w="3010" w:type="dxa"/>
            <w:shd w:val="clear" w:color="auto" w:fill="DCE6F7"/>
            <w:vAlign w:val="center"/>
            <w:tcMar>
              <w:top w:w="90" w:type="dxa"/>
              <w:bottom w:w="90" w:type="dxa"/>
              <w:left w:w="80" w:type="dxa"/>
              <w:right w:w="80" w:type="dxa"/>
            </w:tcMar>
          </w:tcPr>
          <w:p>
            <w:pPr>
              <w:jc w:val="center"/>
              <w:spacing w:before="0" w:after="20" w:line="240" w:lineRule="auto"/>
            </w:pPr>
            <w:r>
              <w:rPr>
                <w:rFonts w:ascii="Calibri" w:hAnsi="Calibri" w:cs="Calibri"/>
                <w:b/>
                <w:color w:val="1F3864"/>
                <w:sz w:val="18"/>
              </w:rPr>
              <w:t xml:space="preserve">Faults History</w:t>
            </w:r>
          </w:p>
        </w:tc>
      </w:tr>
    </w:tbl>
    <w:p>
      <w:pPr>
        <w:jc w:val="center"/>
        <w:spacing w:before="0" w:after="220" w:line="240" w:lineRule="auto"/>
      </w:pPr>
      <w:r>
        <w:rPr>
          <w:rFonts w:ascii="Calibri" w:hAnsi="Calibri" w:cs="Calibri"/>
          <w:i/>
          <w:color w:val="555555"/>
          <w:sz w:val="19.0"/>
        </w:rPr>
        <w:t xml:space="preserve">Figure 1: IP components. Nothing to the left of the bus ever blocks on the database, and nothing to the right of it ever runs on a SystemJ thread.</w:t>
      </w:r>
    </w:p>
    <w:tbl>
      <w:tblPr>
        <w:tblW w:w="9026" w:type="dxa"/>
        <w:tblBorders>
          <w:top w:val="single" w:sz="6" w:color="2E5395"/>
          <w:left w:val="single" w:sz="6" w:color="2E5395"/>
          <w:bottom w:val="single" w:sz="6" w:color="2E5395"/>
          <w:right w:val="single" w:sz="6" w:color="2E5395"/>
        </w:tblBorders>
        <w:tblLayout w:type="fixed"/>
      </w:tblPr>
      <w:tblGrid>
        <w:gridCol w:w="9026"/>
      </w:tblGrid>
      <w:tr>
        <w:tc>
          <w:tcPr>
            <w:tcW w:w="9026" w:type="dxa"/>
            <w:shd w:val="clear" w:color="auto" w:fill="EAF1FB"/>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 SCREENSHOT 1 -- REPLACE THIS BOX ]   The complete four-tab GUI window, ideally with the Place Order tab visible so the GP/IP boundary from § 2 is concrete.
Caption to use: Figure 2: The merged POS and IP application. Tab 1 is the group’s POS; tabs 2–4 are this IP.</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4. Assembling the Digital Twin from the Coordinator’s Evidence</w:t>
      </w:r>
    </w:p>
    <w:p>
      <w:pPr>
        <w:spacing w:before="0" w:after="140" w:line="240" w:lineRule="auto"/>
      </w:pPr>
      <w:r>
        <w:rPr>
          <w:rFonts w:ascii="Calibri" w:hAnsi="Calibri" w:cs="Calibri"/>
          <w:sz w:val="20"/>
        </w:rPr>
        <w:t xml:space="preserve">The conceptual design proposed that the Assembler observe the Workpiece Tracker’s confirmed fields directly. That turned out to be impossible as stated, for a reason specific to SystemJ rather than to the design: the Tracker lives inside the Coordinator’s clock domain, and SystemJ clock domains do not share Java object references across a signal boundary. The IP’s consumer runs in a different clock domain (IpBatchManagerCD) and therefore cannot hold a reference to the Tracker at all.</w:t>
      </w:r>
    </w:p>
    <w:p>
      <w:pPr>
        <w:spacing w:before="0" w:after="140" w:line="240" w:lineRule="auto"/>
      </w:pPr>
      <w:r>
        <w:rPr>
          <w:rFonts w:ascii="Calibri" w:hAnsi="Calibri" w:cs="Calibri"/>
          <w:sz w:val="20"/>
        </w:rPr>
        <w:t xml:space="preserve">The delivered solution keeps the intent and changes the mechanism. IntegratedCoordinator publishes to a static, bounded queue, TwinEventBus, at exactly the points where it already reports evidence to the GP Tracker — one admission event when the Bottle Loader confirms a new bottle, and one transition event per confirmed DONE, FAULT or ABORTED. Publication is a non-blocking offer onto an ArrayBlockingQueue of 10,000 entries. It cannot block, cannot throw, and silently drops an event if the queue is ever completely full, because dropping a history record is strictly preferable to perturbing the control flow of the production line.</w:t>
      </w:r>
    </w:p>
    <w:p>
      <w:pPr>
        <w:spacing w:before="0" w:after="140" w:line="240" w:lineRule="auto"/>
      </w:pPr>
      <w:r>
        <w:rPr>
          <w:rFonts w:ascii="Calibri" w:hAnsi="Calibri" w:cs="Calibri"/>
          <w:sz w:val="20"/>
        </w:rPr>
        <w:t xml:space="preserve">A dedicated consumer thread drains the bus and hands each event to the DB Worker. The Assembler then does three things the GP Tracker deliberately does not do. It mints a stable bottle identifier of the form B-&lt;batch&gt;-&lt;sequence&gt;, distinct from the GP’s run-local workpieceId and never reused or deleted. It attaches order, product and recipe linkage once, at admission, by joining the batch context the Batch Manager already holds. And it appends one immutable BottleEvents row per confirmed transition.</w:t>
      </w:r>
    </w:p>
    <w:p>
      <w:pPr>
        <w:spacing w:before="0" w:after="140" w:line="240" w:lineRule="auto"/>
      </w:pPr>
      <w:r>
        <w:rPr>
          <w:rFonts w:ascii="Calibri" w:hAnsi="Calibri" w:cs="Calibri"/>
          <w:sz w:val="20"/>
        </w:rPr>
        <w:t xml:space="preserve">That last point is the discipline that makes the record trustworthy. Intermediate states such as BUSY are observed and deliberately dropped; only confirmed transitions are written. The persisted history therefore reflects what actually happened, not what was merely commanded — the same evidence-based rule the GP applies to its own tracker, carried through to storage.</w:t>
      </w:r>
    </w:p>
    <w:p>
      <w:pPr>
        <w:spacing w:before="0" w:after="200" w:line="240" w:lineRule="auto"/>
      </w:pPr>
      <w:r>
        <w:rPr>
          <w:rFonts w:ascii="Calibri" w:hAnsi="Calibri" w:cs="Calibri"/>
          <w:sz w:val="20"/>
        </w:rPr>
        <w:t xml:space="preserve">One further safeguard deserves mention. The publication hook parses the batch identifier and abandons publication if it is not numeric. This self-gates the IP cleanly: in the GP-only test profiles, where batch labels are console-typed strings, no events are published and no database is required, so the group’s own harnesses run exactly as they did before this IP existed.</w:t>
      </w:r>
    </w:p>
    <w:p>
      <w:pPr>
        <w:pStyle w:val="Heading1"/>
        <w:keepNext/>
        <w:pBdr>
          <w:bottom w:val="single" w:sz="6" w:space="4" w:color="999999"/>
        </w:pBdr>
        <w:spacing w:before="280" w:after="120" w:line="240" w:lineRule="auto"/>
      </w:pPr>
      <w:r>
        <w:rPr>
          <w:rFonts w:ascii="Calibri" w:hAnsi="Calibri" w:cs="Calibri"/>
          <w:b/>
          <w:color w:val="1F3864"/>
          <w:sz w:val="32"/>
        </w:rPr>
        <w:t xml:space="preserve">5. The Persistent Data Model</w:t>
      </w:r>
    </w:p>
    <w:p>
      <w:pPr>
        <w:spacing w:before="0" w:after="140" w:line="240" w:lineRule="auto"/>
      </w:pPr>
      <w:r>
        <w:rPr>
          <w:rFonts w:ascii="Calibri" w:hAnsi="Calibri" w:cs="Calibri"/>
          <w:sz w:val="20"/>
        </w:rPr>
        <w:t xml:space="preserve">Six tables carry the design. Recipes records the two liquid proportions and target bottle type for a product. Batches records a production run of a recipe with its status and timestamps. Orders records a customer purchase order, with customer_po constrained UNIQUE. OrderBatches is the junction table linking the two, because consolidation makes the relationship many-to-many in both directions. BottleEvents is the persistent form of the twin, one append-only row per confirmed transition. Faults records device-level fault reports with an operator resolution field.</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1500"/>
        <w:gridCol w:w="2400"/>
        <w:gridCol w:w="5126"/>
      </w:tblGrid>
      <w:tr>
        <w:trPr>
          <w:tblHeader/>
        </w:trPr>
        <w:tc>
          <w:tcPr>
            <w:tcW w:w="15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Table</w:t>
            </w:r>
          </w:p>
        </w:tc>
        <w:tc>
          <w:tcPr>
            <w:tcW w:w="24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Grain</w:t>
            </w:r>
          </w:p>
        </w:tc>
        <w:tc>
          <w:tcPr>
            <w:tcW w:w="51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Key design point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Recipes</w:t>
            </w:r>
          </w:p>
        </w:tc>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product formulation</w:t>
            </w:r>
          </w:p>
        </w:tc>
        <w:tc>
          <w:tcPr>
            <w:tcW w:w="5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Reused rather than duplicated: an identical proportion/bottle-type combination resolves to the existing row (§ 11).</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Batches</w:t>
            </w:r>
          </w:p>
        </w:tc>
        <w:tc>
          <w:tcPr>
            <w:tcW w:w="2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production run</w:t>
            </w:r>
          </w:p>
        </w:tc>
        <w:tc>
          <w:tcPr>
            <w:tcW w:w="5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status ∈ PENDING / RUNNING / COMPLETED / FAULT.</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Orders</w:t>
            </w:r>
          </w:p>
        </w:tc>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customer purchase order</w:t>
            </w:r>
          </w:p>
        </w:tc>
        <w:tc>
          <w:tcPr>
            <w:tcW w:w="5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customer_po UNIQUE — the constraint that caught a real defect (§ 11).</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OrderBatches</w:t>
            </w:r>
          </w:p>
        </w:tc>
        <w:tc>
          <w:tcPr>
            <w:tcW w:w="2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(order, batch) pair</w:t>
            </w:r>
          </w:p>
        </w:tc>
        <w:tc>
          <w:tcPr>
            <w:tcW w:w="5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admitted_quantity is tracked separately from completed_quantity so concurrent bottles are not over-attributed to one order.</w:t>
            </w:r>
          </w:p>
        </w:tc>
      </w:tr>
      <w:tr>
        <w:tc>
          <w:tcPr>
            <w:tcW w:w="15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BottleEvents</w:t>
            </w:r>
          </w:p>
        </w:tc>
        <w:tc>
          <w:tcPr>
            <w:tcW w:w="24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confirmed transition</w:t>
            </w:r>
          </w:p>
        </w:tc>
        <w:tc>
          <w:tcPr>
            <w:tcW w:w="51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Append-only. A bottle id is never deleted or reused; a discarded bottle keeps its full history with its status updated.</w:t>
            </w:r>
          </w:p>
        </w:tc>
      </w:tr>
      <w:tr>
        <w:tc>
          <w:tcPr>
            <w:tcW w:w="15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Faults</w:t>
            </w:r>
          </w:p>
        </w:tc>
        <w:tc>
          <w:tcPr>
            <w:tcW w:w="24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One row per device fault</w:t>
            </w:r>
          </w:p>
        </w:tc>
        <w:tc>
          <w:tcPr>
            <w:tcW w:w="51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Populated from the same FAULT transitions the Assembler already observes, so no additional signal was needed.</w:t>
            </w:r>
          </w:p>
        </w:tc>
      </w:tr>
    </w:tbl>
    <w:p>
      <w:pPr>
        <w:spacing w:before="0" w:after="200" w:line="240" w:lineRule="auto"/>
      </w:pPr>
      <w:r>
        <w:rPr>
          <w:rFonts w:ascii="Calibri" w:hAnsi="Calibri" w:cs="Calibri"/>
          <w:sz w:val="20"/>
        </w:rPr>
        <w:t xml:space="preserve">Two indexes support the query patterns the GUI actually issues: BottleEvents by bottle_id for the per-bottle journey view, and by batch_id for the recovery sweep described in § 9.</w:t>
      </w:r>
    </w:p>
    <w:p>
      <w:pPr>
        <w:pStyle w:val="Heading1"/>
        <w:keepNext/>
        <w:pBdr>
          <w:bottom w:val="single" w:sz="6" w:space="4" w:color="999999"/>
        </w:pBdr>
        <w:spacing w:before="280" w:after="120" w:line="240" w:lineRule="auto"/>
      </w:pPr>
      <w:r>
        <w:rPr>
          <w:rFonts w:ascii="Calibri" w:hAnsi="Calibri" w:cs="Calibri"/>
          <w:b/>
          <w:color w:val="1F3864"/>
          <w:sz w:val="32"/>
        </w:rPr>
        <w:t xml:space="preserve">6. Non-Blocking Persistence: the Central Problem</w:t>
      </w:r>
    </w:p>
    <w:p>
      <w:pPr>
        <w:spacing w:before="0" w:after="140" w:line="240" w:lineRule="auto"/>
      </w:pPr>
      <w:r>
        <w:rPr>
          <w:rFonts w:ascii="Calibri" w:hAnsi="Calibri" w:cs="Calibri"/>
          <w:sz w:val="20"/>
        </w:rPr>
        <w:t xml:space="preserve">SystemJ programs are structured as clock domains reacting to signals. A reaction that performs a synchronous, blocking JDBC call risks stalling its enclosing clock domain and, transitively, every controller waiting on signals from it. The Coordinator is the single busiest node in this system, so the consequence of getting this wrong is not a slow query — it is a stalled production line.</w:t>
      </w:r>
    </w:p>
    <w:p>
      <w:pPr>
        <w:spacing w:before="0" w:after="140" w:line="240" w:lineRule="auto"/>
      </w:pPr>
      <w:r>
        <w:rPr>
          <w:rFonts w:ascii="Calibri" w:hAnsi="Calibri" w:cs="Calibri"/>
          <w:sz w:val="20"/>
        </w:rPr>
        <w:t xml:space="preserve">The rule the implementation enforces is therefore absolute: no thread that SystemJ can observe ever performs a database operation. Three distinct threads are involved, and each is kept clear of JDBC in a different way.</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The SystemJ tick thread calls nextActivate() and resultReceived(). Both return immediately. nextActivate() is pure in-memory field access. resultReceived() parses the result frame and, where a database operation is implied, submits a Runnable and returns.</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The twin consumer thread only calls TwinEventBus.take() and submits work. It never touches the Dao itself.</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The Swing event dispatch thread never queries directly. Every GUI action submits a request and receives its answer through a callback, which the GUI re-marshals back onto the EDT.</w:t>
      </w:r>
    </w:p>
    <w:p>
      <w:pPr>
        <w:spacing w:before="0" w:after="140" w:line="240" w:lineRule="auto"/>
      </w:pPr>
      <w:r>
        <w:rPr>
          <w:rFonts w:ascii="Calibri" w:hAnsi="Calibri" w:cs="Calibri"/>
          <w:sz w:val="20"/>
        </w:rPr>
        <w:t xml:space="preserve">All of that work lands on one place: a single DbWorker thread draining a LinkedBlockingQueue of Runnables. Because every read and write in the process is serialised through this one thread, SQLite is never subjected to concurrent access, which is both a correctness property and the reason no connection pool is needed.</w:t>
      </w:r>
    </w:p>
    <w:p>
      <w:pPr>
        <w:spacing w:before="0" w:after="140" w:line="240" w:lineRule="auto"/>
      </w:pPr>
      <w:r>
        <w:rPr>
          <w:rFonts w:ascii="Calibri" w:hAnsi="Calibri" w:cs="Calibri"/>
          <w:sz w:val="20"/>
        </w:rPr>
        <w:t xml:space="preserve">This is a deliberate simplification of the conceptual design, which proposed a valued dbRequest signal answered by a dbResponseAck signal. Two SystemJ signals were specified where none were required. The DB Worker is not a clock domain and has no reason to be one; every caller already knows what it wants done with the outcome, so the submitted Runnable reports its own result inline rather than through a second signal type. The asynchrony the proposal wanted is fully preserved; the SystemJ ceremony around it was not.</w:t>
      </w:r>
    </w:p>
    <w:p>
      <w:pPr>
        <w:spacing w:before="0" w:after="200" w:line="240" w:lineRule="auto"/>
      </w:pPr>
      <w:r>
        <w:rPr>
          <w:rFonts w:ascii="Calibri" w:hAnsi="Calibri" w:cs="Calibri"/>
          <w:sz w:val="20"/>
        </w:rPr>
        <w:t xml:space="preserve">One consequence is worth stating plainly, because it constrains the code everywhere: any JDBC call runs with no lock held, and only the final handoff of two fields is synchronized. Had the batch handoff been performed inside a synchronized block that also issued the query, the tick thread would have been made to wait on a database round trip through lock contention rather than through a direct call — the same stall, reached indirectly.</w:t>
      </w:r>
    </w:p>
    <w:p>
      <w:pPr>
        <w:pStyle w:val="Heading1"/>
        <w:keepNext/>
        <w:pBdr>
          <w:bottom w:val="single" w:sz="6" w:space="4" w:color="999999"/>
        </w:pBdr>
        <w:spacing w:before="280" w:after="120" w:line="240" w:lineRule="auto"/>
      </w:pPr>
      <w:r>
        <w:rPr>
          <w:rFonts w:ascii="Calibri" w:hAnsi="Calibri" w:cs="Calibri"/>
          <w:b/>
          <w:color w:val="1F3864"/>
          <w:sz w:val="32"/>
        </w:rPr>
        <w:t xml:space="preserve">7. Recipe-Deviation Detection</w:t>
      </w:r>
    </w:p>
    <w:p>
      <w:pPr>
        <w:spacing w:before="0" w:after="140" w:line="240" w:lineRule="auto"/>
      </w:pPr>
      <w:r>
        <w:rPr>
          <w:rFonts w:ascii="Calibri" w:hAnsi="Calibri" w:cs="Calibri"/>
          <w:sz w:val="20"/>
        </w:rPr>
        <w:t xml:space="preserve">With a complete history on file, each finished bottle can be checked against the route its recipe implies. The expected route is the eight-station sequence loader, conveyor_in, filler, lid, capper, conveyor_out, labeller, unloader, held as a single constant shared with the GUI so that the expected and rendered routes cannot drift apart.</w:t>
      </w:r>
    </w:p>
    <w:p>
      <w:pPr>
        <w:spacing w:before="0" w:after="140" w:line="240" w:lineRule="auto"/>
      </w:pPr>
      <w:r>
        <w:rPr>
          <w:rFonts w:ascii="Calibri" w:hAnsi="Calibri" w:cs="Calibri"/>
          <w:sz w:val="20"/>
        </w:rPr>
        <w:t xml:space="preserve">When a bottle reaches the unloader with a DONE status, the Deviation Detector reads back its persisted station:status sequence and compares it against that route. Any FAULT entry, any missing or out-of-order station, or any extra station counts as a deviation, and the reason is reported in terms of the recorded history rather than as a bare boolean. This is detection only, as scoped in the conceptual design: no automatic rerouting or recipe adaptation is attempted.</w:t>
      </w:r>
    </w:p>
    <w:tbl>
      <w:tblPr>
        <w:tblW w:w="9026" w:type="dxa"/>
        <w:tblBorders>
          <w:top w:val="single" w:sz="6" w:color="C9A227"/>
          <w:left w:val="single" w:sz="6" w:color="C9A227"/>
          <w:bottom w:val="single" w:sz="6" w:color="C9A227"/>
          <w:right w:val="single" w:sz="6" w:color="C9A227"/>
        </w:tblBorders>
        <w:tblLayout w:type="fixed"/>
      </w:tblPr>
      <w:tblGrid>
        <w:gridCol w:w="9026"/>
      </w:tblGrid>
      <w:tr>
        <w:tc>
          <w:tcPr>
            <w:tcW w:w="9026" w:type="dxa"/>
            <w:shd w:val="clear" w:color="auto" w:fill="FFF3CD"/>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Honest scope limitation. The Milestone-1 objective named liquid proportions alongside stations and fault history. Proportions are not checked, because the filler plant model reports completion but not the volume actually dispensed, so there is no measured quantity to compare against the recipe. Checking the commanded dose against the recipe would compare the recipe with itself and prove nothing. This is recorded as a limitation in § 12 rather than quietly dropped.</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8. Cross-Order Consolidation: an Implemented Feature with a Retracted Rationale</w:t>
      </w:r>
    </w:p>
    <w:p>
      <w:pPr>
        <w:spacing w:before="0" w:after="140" w:line="240" w:lineRule="auto"/>
      </w:pPr>
      <w:r>
        <w:rPr>
          <w:rFonts w:ascii="Calibri" w:hAnsi="Calibri" w:cs="Calibri"/>
          <w:sz w:val="20"/>
        </w:rPr>
        <w:t xml:space="preserve">The conceptual design proposed cross-order consolidation as one of three headline demonstrations. Because orders live in a database rather than being pushed one at a time through the Coordinator, the Batch Manager can query all pending orders grouped by product before dispatching the next batch, select the product with the greatest pending demand (tie-broken by oldest order), and emit a single consolidated ActivateBatch. Two customers ordering the same product are produced together instead of as two separate batches. This is implemented and works.</w:t>
      </w:r>
    </w:p>
    <w:p>
      <w:pPr>
        <w:spacing w:before="0" w:after="140" w:line="240" w:lineRule="auto"/>
      </w:pPr>
      <w:r>
        <w:rPr>
          <w:rFonts w:ascii="Calibri" w:hAnsi="Calibri" w:cs="Calibri"/>
          <w:sz w:val="20"/>
        </w:rPr>
        <w:t xml:space="preserve">The stated motivation was to reduce the energy cost of reconfiguring the filler between recipes. On review, that argument does not hold. Bottles belonging to different orders are physically identical and indistinguishable on the line; separating a consolidated batch back into per-order quantities at the unloader requires exactly the sorting effort that the merge was supposed to save. The saving was moved, not made.</w:t>
      </w:r>
    </w:p>
    <w:p>
      <w:pPr>
        <w:spacing w:before="0" w:after="140" w:line="240" w:lineRule="auto"/>
      </w:pPr>
      <w:r>
        <w:rPr>
          <w:rFonts w:ascii="Calibri" w:hAnsi="Calibri" w:cs="Calibri"/>
          <w:sz w:val="20"/>
        </w:rPr>
        <w:t xml:space="preserve">Two observations survive that retraction, and they are the honest case for the feature. First, consolidation within a single submission is straightforwardly justified: the POS lets one customer place several lines in one order, and identical lines genuinely should not become separate batches. Second, and more interesting for this IP, the capability is evidence for the architectural claim rather than for the energy claim. A system that pushes each order through the Coordinator as it arrives cannot make this decision at all, because at the moment any single order is admitted the others do not yet exist anywhere the scheduler can see them. Persisting orders is what makes a scheduling decision over the whole pending set expressible. That is a property of the persistence layer, and it is what the feature actually demonstrates.</w:t>
      </w:r>
    </w:p>
    <w:p>
      <w:pPr>
        <w:spacing w:before="0" w:after="200" w:line="240" w:lineRule="auto"/>
      </w:pPr>
      <w:r>
        <w:rPr>
          <w:rFonts w:ascii="Calibri" w:hAnsi="Calibri" w:cs="Calibri"/>
          <w:sz w:val="20"/>
        </w:rPr>
        <w:t xml:space="preserve">The feature is therefore retained and demonstrated, but no energy-reduction benefit is claimed for it. Reporting it this way is a more accurate account of the engineering than the conceptual design gave.</w:t>
      </w:r>
    </w:p>
    <w:p>
      <w:pPr>
        <w:pStyle w:val="Heading1"/>
        <w:keepNext/>
        <w:pBdr>
          <w:bottom w:val="single" w:sz="6" w:space="4" w:color="999999"/>
        </w:pBdr>
        <w:spacing w:before="280" w:after="120" w:line="240" w:lineRule="auto"/>
      </w:pPr>
      <w:r>
        <w:rPr>
          <w:rFonts w:ascii="Calibri" w:hAnsi="Calibri" w:cs="Calibri"/>
          <w:b/>
          <w:color w:val="1F3864"/>
          <w:sz w:val="32"/>
        </w:rPr>
        <w:t xml:space="preserve">9. Recovery from Abrupt Interruption</w:t>
      </w:r>
    </w:p>
    <w:p>
      <w:pPr>
        <w:spacing w:before="0" w:after="140" w:line="240" w:lineRule="auto"/>
      </w:pPr>
      <w:r>
        <w:rPr>
          <w:rFonts w:ascii="Calibri" w:hAnsi="Calibri" w:cs="Calibri"/>
          <w:sz w:val="20"/>
        </w:rPr>
        <w:t xml:space="preserve">The brief already mandates that, after a human-presence or environmental interrupt, all opened bottles are removed before operation resumes. This IP applies the same philosophy to an abrupt interruption such as a killed process, and can do so only because BottleEvents provides a discrete, event-based checkpoint. No attempt is made to reconstruct continuous physical state that no sensor could report.</w:t>
      </w:r>
    </w:p>
    <w:p>
      <w:pPr>
        <w:spacing w:before="0" w:after="140" w:line="240" w:lineRule="auto"/>
      </w:pPr>
      <w:r>
        <w:rPr>
          <w:rFonts w:ascii="Calibri" w:hAnsi="Calibri" w:cs="Calibri"/>
          <w:sz w:val="20"/>
        </w:rPr>
        <w:t xml:space="preserve">The rule is simple: any bottle in a batch that has no terminal DONE at the unloader is treated as faulty. On startup, before anything decides whether to activate a new batch, the model sweeps any batch left RUNNING by a previous process, marks every incomplete bottle in it ABORTED and closes the batch as FAULT. The same reconciliation runs live when a FAULT result arrives from the Coordinator, through the same shared routine — a detail that matters, because the live path originally did not perform it, which left order status stuck at RUNNING after a hazard and broke order tracking entirely until it was fixed (§ 11).</w:t>
      </w:r>
    </w:p>
    <w:p>
      <w:pPr>
        <w:spacing w:before="0" w:after="140" w:line="240" w:lineRule="auto"/>
      </w:pPr>
      <w:r>
        <w:rPr>
          <w:rFonts w:ascii="Calibri" w:hAnsi="Calibri" w:cs="Calibri"/>
          <w:sz w:val="20"/>
        </w:rPr>
        <w:t xml:space="preserve">Safety recovery required a small protocol addition. A machine fault holds the Coordinator permanently and deliberately, but a safety hold is recoverable once the hazard clears and an operator acknowledges it. Originally nothing told the IP side that this had happened, so the order-acceptance latch stayed closed and the POS reported a system hold indefinitely while the console reported readiness. A RECOVERED result frame now travels back on the existing result channel, clearing the latch and immediately re-checking for orders that were placed while the line was held.</w:t>
      </w:r>
    </w:p>
    <w:tbl>
      <w:tblPr>
        <w:tblW w:w="9026" w:type="dxa"/>
        <w:tblBorders>
          <w:top w:val="single" w:sz="6" w:color="2E5395"/>
          <w:left w:val="single" w:sz="6" w:color="2E5395"/>
          <w:bottom w:val="single" w:sz="6" w:color="2E5395"/>
          <w:right w:val="single" w:sz="6" w:color="2E5395"/>
        </w:tblBorders>
        <w:tblLayout w:type="fixed"/>
      </w:tblPr>
      <w:tblGrid>
        <w:gridCol w:w="9026"/>
      </w:tblGrid>
      <w:tr>
        <w:tc>
          <w:tcPr>
            <w:tcW w:w="9026" w:type="dxa"/>
            <w:shd w:val="clear" w:color="auto" w:fill="EAF1FB"/>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 SCREENSHOT 2 -- REPLACE THIS BOX ]   The GUI during or just after a hazard: the safety strip showing HAZARD ACTIVE or ON HOLD, with the Clear Hazard and Reset / Resume Production buttons visible.
Caption to use: Figure 3: Operator-facing safety state and recovery controls.</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10. The IP Application: Traceability for Operators</w:t>
      </w:r>
    </w:p>
    <w:p>
      <w:pPr>
        <w:spacing w:before="0" w:after="140" w:line="240" w:lineRule="auto"/>
      </w:pPr>
      <w:r>
        <w:rPr>
          <w:rFonts w:ascii="Calibri" w:hAnsi="Calibri" w:cs="Calibri"/>
          <w:sz w:val="20"/>
        </w:rPr>
        <w:t xml:space="preserve">A database that can only be inspected with an administration tool has not been integrated into the system; it has merely been attached to it. Three tabs make the persisted twin usable by an operator. All three poll on a two-second timer so that state is live rather than fetched only on demand.</w:t>
      </w:r>
    </w:p>
    <w:p>
      <w:pPr>
        <w:spacing w:before="0" w:after="140" w:line="240" w:lineRule="auto"/>
      </w:pPr>
      <w:r>
        <w:rPr>
          <w:rFonts w:ascii="Calibri" w:hAnsi="Calibri" w:cs="Calibri"/>
          <w:sz w:val="20"/>
        </w:rPr>
        <w:t xml:space="preserve">Track Order answers the customer-facing question. Given a purchase-order reference, it reports the order and its completion progress. Completion is deliberately derived from the count of bottles that actually reached the unloader for that order, rather than read from a status column, because the status column is never written as COMPLETED by any code path — deriving it from the evidence is both correct and consistent with the rest of the design.</w:t>
      </w:r>
    </w:p>
    <w:tbl>
      <w:tblPr>
        <w:tblW w:w="9026" w:type="dxa"/>
        <w:tblBorders>
          <w:top w:val="single" w:sz="6" w:color="2E5395"/>
          <w:left w:val="single" w:sz="6" w:color="2E5395"/>
          <w:bottom w:val="single" w:sz="6" w:color="2E5395"/>
          <w:right w:val="single" w:sz="6" w:color="2E5395"/>
        </w:tblBorders>
        <w:tblLayout w:type="fixed"/>
      </w:tblPr>
      <w:tblGrid>
        <w:gridCol w:w="9026"/>
      </w:tblGrid>
      <w:tr>
        <w:tc>
          <w:tcPr>
            <w:tcW w:w="9026" w:type="dxa"/>
            <w:shd w:val="clear" w:color="auto" w:fill="EAF1FB"/>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 SCREENSHOT 3 -- REPLACE THIS BOX ]   The Track Order tab with a completed order shown, ideally with the green COMPLETED state visible.
Caption to use: Figure 4: Order progress derived from persisted per-bottle completion evidence.</w:t>
            </w:r>
          </w:p>
        </w:tc>
      </w:tr>
    </w:tbl>
    <w:p>
      <w:pPr>
        <w:spacing w:before="0" w:after="140" w:line="240" w:lineRule="auto"/>
      </w:pPr>
      <w:r>
        <w:rPr>
          <w:rFonts w:ascii="Calibri" w:hAnsi="Calibri" w:cs="Calibri"/>
          <w:sz w:val="20"/>
        </w:rPr>
        <w:t xml:space="preserve">Track Bottle is the digital twin made visible. Selecting a bottle identifier renders its full journey: every station on the expected route, each marked with what the database records — completed with a timestamp, faulted, aborted, or not yet reached — alongside the order, product and recipe attached at admission and the deviation verdict from § 7. Stations the bottle has not reached are shown rather than omitted, so an interrupted bottle reads as an interrupted journey instead of a short one.</w:t>
      </w:r>
    </w:p>
    <w:tbl>
      <w:tblPr>
        <w:tblW w:w="9026" w:type="dxa"/>
        <w:tblBorders>
          <w:top w:val="single" w:sz="6" w:color="2E5395"/>
          <w:left w:val="single" w:sz="6" w:color="2E5395"/>
          <w:bottom w:val="single" w:sz="6" w:color="2E5395"/>
          <w:right w:val="single" w:sz="6" w:color="2E5395"/>
        </w:tblBorders>
        <w:tblLayout w:type="fixed"/>
      </w:tblPr>
      <w:tblGrid>
        <w:gridCol w:w="9026"/>
      </w:tblGrid>
      <w:tr>
        <w:tc>
          <w:tcPr>
            <w:tcW w:w="9026" w:type="dxa"/>
            <w:shd w:val="clear" w:color="auto" w:fill="EAF1FB"/>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 SCREENSHOT 4 -- REPLACE THIS BOX ]   The Track Bottle tab showing one bottle’s station-by-station journey; a bottle with a FAULT or ABORTED step is more informative than a clean one.
Caption to use: Figure 5: The persistent digital twin of a single workpiece.</w:t>
            </w:r>
          </w:p>
        </w:tc>
      </w:tr>
    </w:tbl>
    <w:p>
      <w:pPr>
        <w:spacing w:before="0" w:after="140" w:line="240" w:lineRule="auto"/>
      </w:pPr>
      <w:r>
        <w:rPr>
          <w:rFonts w:ascii="Calibri" w:hAnsi="Calibri" w:cs="Calibri"/>
          <w:sz w:val="20"/>
        </w:rPr>
        <w:t xml:space="preserve">Faults History lists every fault on file, most recent first, and lets an operator record a resolution against one. This closes the loop the Faults table was designed for: the table carries not only what went wrong but what was done about it.</w:t>
      </w:r>
    </w:p>
    <w:tbl>
      <w:tblPr>
        <w:tblW w:w="9026" w:type="dxa"/>
        <w:tblBorders>
          <w:top w:val="single" w:sz="6" w:color="2E5395"/>
          <w:left w:val="single" w:sz="6" w:color="2E5395"/>
          <w:bottom w:val="single" w:sz="6" w:color="2E5395"/>
          <w:right w:val="single" w:sz="6" w:color="2E5395"/>
        </w:tblBorders>
        <w:tblLayout w:type="fixed"/>
      </w:tblPr>
      <w:tblGrid>
        <w:gridCol w:w="9026"/>
      </w:tblGrid>
      <w:tr>
        <w:tc>
          <w:tcPr>
            <w:tcW w:w="9026" w:type="dxa"/>
            <w:shd w:val="clear" w:color="auto" w:fill="EAF1FB"/>
            <w:tcMar>
              <w:top w:w="100" w:type="dxa"/>
              <w:bottom w:w="100" w:type="dxa"/>
              <w:left w:w="140" w:type="dxa"/>
              <w:right w:w="140" w:type="dxa"/>
            </w:tcMar>
          </w:tcPr>
          <w:p>
            <w:pPr>
              <w:spacing w:before="0" w:after="0" w:line="240" w:lineRule="auto"/>
            </w:pPr>
            <w:r>
              <w:rPr>
                <w:rFonts w:ascii="Calibri" w:hAnsi="Calibri" w:cs="Calibri"/>
                <w:i/>
                <w:color w:val="5C4A00"/>
                <w:sz w:val="19.0"/>
              </w:rPr>
              <w:t xml:space="preserve">[ SCREENSHOT 5 -- REPLACE THIS BOX ]   The Faults History tab with at least one fault listed, ideally one resolved and one open.
Caption to use: Figure 6: Queryable fault log with operator-recorded resolutions.</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11. Verification and Defects Found</w:t>
      </w:r>
    </w:p>
    <w:p>
      <w:pPr>
        <w:spacing w:before="0" w:after="140" w:line="240" w:lineRule="auto"/>
      </w:pPr>
      <w:r>
        <w:rPr>
          <w:rFonts w:ascii="Calibri" w:hAnsi="Calibri" w:cs="Calibri"/>
          <w:sz w:val="20"/>
        </w:rPr>
        <w:t xml:space="preserve">Verification combined four methods: full compilation of the Java sources against the project libraries; the SystemJ build, which regenerates and compiles all 26 clock-domain classes; targeted assertion harnesses run against temporary SQLite databases and then discarded; and end-to-end runs of the integrated system with the database inspected directly in Navicat, as the conceptual design planned.</w:t>
      </w:r>
    </w:p>
    <w:p>
      <w:pPr>
        <w:spacing w:before="0" w:after="140" w:line="240" w:lineRule="auto"/>
      </w:pPr>
      <w:r>
        <w:rPr>
          <w:rFonts w:ascii="Calibri" w:hAnsi="Calibri" w:cs="Calibri"/>
          <w:sz w:val="20"/>
        </w:rPr>
        <w:t xml:space="preserve">The harnesses were the most productive of these, because each one was written to pin down a specific behaviour that had failed in a run. The defects they found and fixed are worth recording, since they are the substance of the integration work:</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Recipe duplication. Every order minted a new Recipes row, so identical formulations accumulated as distinct recipes. Fixed by looking up a matching recipe first and reusing it, so an identical proportion and bottle-type combination always resolves to one row.</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Purchase-order uniqueness across restarts. PO references were generated from a counter that reset to 1 on each launch, so the second session against a reused database violated the UNIQUE constraint on customer_po. Fixed by seeding the counter from the highest sequence already on file, with submission disabled until that seed completes.</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Order status stuck at RUNNING after a hazard. The live fault path did not reconcile the batch, so tracking broke after the first hazard. Fixed by routing both the startup and live paths through one shared routine (§ 9).</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A permanently latched hold. The order-acceptance latch had no path back to open, so the POS reported a hold after recovery had already happened. Fixed with the RECOVERED frame (§ 9).</w:t>
      </w:r>
    </w:p>
    <w:p>
      <w:pPr>
        <w:spacing w:before="0" w:after="200" w:line="240" w:lineRule="auto"/>
      </w:pPr>
      <w:r>
        <w:rPr>
          <w:rFonts w:ascii="Calibri" w:hAnsi="Calibri" w:cs="Calibri"/>
          <w:sz w:val="20"/>
        </w:rPr>
        <w:t xml:space="preserve">One harness result is worth reporting because the failure was in the test rather than the code. A test that pre-seeded a RUNNING batch and then exercised the live fault path recorded a bottle as ABORTED twice. The cause was that startup recovery legitimately claimed the pre-seeded batch before the live path reached it — correct behaviour, incorrectly provoked. The test was rebuilt to construct the model against an empty database first, after which it passed. Recording this distinguishes a genuine fix from a masked one.</w:t>
      </w:r>
    </w:p>
    <w:p>
      <w:pPr>
        <w:pStyle w:val="Heading1"/>
        <w:keepNext/>
        <w:pBdr>
          <w:bottom w:val="single" w:sz="6" w:space="4" w:color="999999"/>
        </w:pBdr>
        <w:spacing w:before="280" w:after="120" w:line="240" w:lineRule="auto"/>
      </w:pPr>
      <w:r>
        <w:rPr>
          <w:rFonts w:ascii="Calibri" w:hAnsi="Calibri" w:cs="Calibri"/>
          <w:b/>
          <w:color w:val="1F3864"/>
          <w:sz w:val="32"/>
        </w:rPr>
        <w:t xml:space="preserve">12. Compendium: Deviations from the Conceptual Design</w:t>
      </w:r>
    </w:p>
    <w:tbl>
      <w:tblPr>
        <w:tblW w:w="9026" w:type="dxa"/>
        <w:tblBorders>
          <w:top w:val="single" w:sz="4" w:color="9AA5B1"/>
          <w:left w:val="single" w:sz="4" w:color="9AA5B1"/>
          <w:bottom w:val="single" w:sz="4" w:color="9AA5B1"/>
          <w:right w:val="single" w:sz="4" w:color="9AA5B1"/>
          <w:insideH w:val="single" w:sz="4" w:color="C6CCD4"/>
          <w:insideV w:val="single" w:sz="4" w:color="C6CCD4"/>
        </w:tblBorders>
        <w:tblLayout w:type="fixed"/>
      </w:tblPr>
      <w:tblGrid>
        <w:gridCol w:w="3000"/>
        <w:gridCol w:w="2600"/>
        <w:gridCol w:w="3426"/>
      </w:tblGrid>
      <w:tr>
        <w:trPr>
          <w:tblHeader/>
        </w:trPr>
        <w:tc>
          <w:tcPr>
            <w:tcW w:w="30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Conceptual design (Milestone 1)</w:t>
            </w:r>
          </w:p>
        </w:tc>
        <w:tc>
          <w:tcPr>
            <w:tcW w:w="2600"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As delivered</w:t>
            </w:r>
          </w:p>
        </w:tc>
        <w:tc>
          <w:tcPr>
            <w:tcW w:w="3426" w:type="dxa"/>
            <w:shd w:val="clear" w:color="auto" w:fill="2E5395"/>
            <w:vAlign w:val="center"/>
            <w:tcMar>
              <w:top w:w="60" w:type="dxa"/>
              <w:bottom w:w="60" w:type="dxa"/>
              <w:left w:w="90" w:type="dxa"/>
              <w:right w:w="90" w:type="dxa"/>
            </w:tcMar>
          </w:tcPr>
          <w:p>
            <w:pPr>
              <w:jc w:val="left"/>
              <w:spacing w:before="0" w:after="40" w:line="240" w:lineRule="auto"/>
            </w:pPr>
            <w:r>
              <w:rPr>
                <w:rFonts w:ascii="Calibri" w:hAnsi="Calibri" w:cs="Calibri"/>
                <w:b/>
                <w:color w:val="FFFFFF"/>
                <w:sz w:val="19.0"/>
              </w:rPr>
              <w:t xml:space="preserve">Reason</w:t>
            </w:r>
          </w:p>
        </w:tc>
      </w:tr>
      <w:tr>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Assembler observes the Workpiece Tracker’s fields directly.</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Coordinator publishes to a bounded event bus; the Assembler consumes from it.</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SystemJ clock domains cannot share Java references across a signal boundary (§ 4).</w:t>
            </w:r>
          </w:p>
        </w:tc>
      </w:tr>
      <w:tr>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dbRequest / dbResponseAck valued signals to the DB Worker.</w:t>
            </w:r>
          </w:p>
        </w:tc>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Runnables submitted to a plain Java worker thread.</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worker is not a clock domain; the signals added ceremony without asynchrony (§ 6).</w:t>
            </w:r>
          </w:p>
        </w:tc>
      </w:tr>
      <w:tr>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Deviation detection covers liquid proportions, stations and faults.</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Stations and faults only.</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filler reports completion but not dispensed volume, so there is nothing measured to compare (§ 7).</w:t>
            </w:r>
          </w:p>
        </w:tc>
      </w:tr>
      <w:tr>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Cross-order consolidation reduces filler reconfiguration energy.</w:t>
            </w:r>
          </w:p>
        </w:tc>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Implemented; energy rationale retracted.</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Separating merged orders downstream costs what the merge saves (§ 8).</w:t>
            </w:r>
          </w:p>
        </w:tc>
      </w:tr>
      <w:tr>
        <w:tc>
          <w:tcPr>
            <w:tcW w:w="30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 fault-log panel extending the existing GUI.</w:t>
            </w:r>
          </w:p>
        </w:tc>
        <w:tc>
          <w:tcPr>
            <w:tcW w:w="2600"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A three-tab traceability application merged with the group’s POS.</w:t>
            </w:r>
          </w:p>
        </w:tc>
        <w:tc>
          <w:tcPr>
            <w:tcW w:w="3426" w:type="dxa"/>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The tabs share one database and one process; two windows would have meant two writers.</w:t>
            </w:r>
          </w:p>
        </w:tc>
      </w:tr>
      <w:tr>
        <w:tc>
          <w:tcPr>
            <w:tcW w:w="30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Schema carried rotary_table_position, next_operation, completed_operations, actual_stations_used and fault_history.</w:t>
            </w:r>
          </w:p>
        </w:tc>
        <w:tc>
          <w:tcPr>
            <w:tcW w:w="2600"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Removed; label_data retained but nullable and unused.</w:t>
            </w:r>
          </w:p>
        </w:tc>
        <w:tc>
          <w:tcPr>
            <w:tcW w:w="3426" w:type="dxa"/>
            <w:shd w:val="clear" w:color="auto" w:fill="F2F4F7"/>
            <w:vAlign w:val="center"/>
            <w:tcMar>
              <w:top w:w="60" w:type="dxa"/>
              <w:bottom w:w="60" w:type="dxa"/>
              <w:left w:w="90" w:type="dxa"/>
              <w:right w:w="90" w:type="dxa"/>
            </w:tcMar>
          </w:tcPr>
          <w:p>
            <w:pPr>
              <w:jc w:val="left"/>
              <w:spacing w:before="0" w:after="40" w:line="240" w:lineRule="auto"/>
            </w:pPr>
            <w:r>
              <w:rPr>
                <w:rFonts w:ascii="Calibri" w:hAnsi="Calibri" w:cs="Calibri"/>
                <w:color w:val="000000"/>
                <w:sz w:val="19.0"/>
              </w:rPr>
              <w:t xml:space="preserve">Each was derivable from BottleEvents or depended on a contract the Labeller sub-team had not confirmed.</w:t>
            </w:r>
          </w:p>
        </w:tc>
      </w:tr>
    </w:tbl>
    <w:p>
      <w:pPr>
        <w:pStyle w:val="Heading1"/>
        <w:keepNext/>
        <w:pBdr>
          <w:bottom w:val="single" w:sz="6" w:space="4" w:color="999999"/>
        </w:pBdr>
        <w:spacing w:before="280" w:after="120" w:line="240" w:lineRule="auto"/>
      </w:pPr>
      <w:r>
        <w:rPr>
          <w:rFonts w:ascii="Calibri" w:hAnsi="Calibri" w:cs="Calibri"/>
          <w:b/>
          <w:color w:val="1F3864"/>
          <w:sz w:val="32"/>
        </w:rPr>
        <w:t xml:space="preserve">13. Limitations and Future Work</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Liquid-proportion verification requires the filler plant model to report dispensed volume. Adding that measurement would make the deviation check complete against its original scope.</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The event bus drops events if it ever fills. This has not been observed, and the bound is generous, but a full queue would silently lose history rather than signal the loss.</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Recovery discards every open bottle rather than resuming any of them. This is the correct conservative choice given that no sensor reports partial fill, but a filler that reported volume would permit a genuine resume.</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Cross-order consolidation is retained without a benefit claim (§ 8); removing it would simplify the Batch Manager if no stronger justification emerges.</w:t>
      </w:r>
    </w:p>
    <w:p>
      <w:pPr>
        <w:ind w:left="460" w:hanging="260"/>
        <w:spacing w:before="0" w:after="60" w:line="240" w:lineRule="auto"/>
      </w:pPr>
      <w:r>
        <w:rPr>
          <w:rFonts w:ascii="Calibri" w:hAnsi="Calibri" w:cs="Calibri"/>
          <w:sz w:val="20"/>
        </w:rPr>
        <w:t xml:space="preserve">–  </w:t>
      </w:r>
      <w:r>
        <w:rPr>
          <w:rFonts w:ascii="Calibri" w:hAnsi="Calibri" w:cs="Calibri"/>
          <w:sz w:val="20"/>
        </w:rPr>
        <w:t xml:space="preserve">Persistence is single-process and single-file by design. Multiple concurrent simulations writing one database file are not supported and are not intended to be.</w:t>
      </w:r>
    </w:p>
    <w:p>
      <w:pPr>
        <w:pStyle w:val="Heading1"/>
        <w:keepNext/>
        <w:pBdr>
          <w:bottom w:val="single" w:sz="6" w:space="4" w:color="999999"/>
        </w:pBdr>
        <w:spacing w:before="280" w:after="120" w:line="240" w:lineRule="auto"/>
      </w:pPr>
      <w:r>
        <w:rPr>
          <w:rFonts w:ascii="Calibri" w:hAnsi="Calibri" w:cs="Calibri"/>
          <w:b/>
          <w:color w:val="1F3864"/>
          <w:sz w:val="32"/>
        </w:rPr>
        <w:t xml:space="preserve">14. Conclusion</w:t>
      </w:r>
    </w:p>
    <w:p>
      <w:pPr>
        <w:spacing w:before="0" w:after="140" w:line="240" w:lineRule="auto"/>
      </w:pPr>
      <w:r>
        <w:rPr>
          <w:rFonts w:ascii="Calibri" w:hAnsi="Calibri" w:cs="Calibri"/>
          <w:sz w:val="20"/>
        </w:rPr>
        <w:t xml:space="preserve">This IP delivers a persistent digital twin for the EABS. It assembles each bottle’s order, product, recipe and complete station-by-station history from evidence the Coordinator already produces, and persists that twin in a six-table SQLite database that outlives the simulation run. Full traceability for every bottle remains queryable long after the run that produced it has ended, which the group’s in-memory twin cannot provide.</w:t>
      </w:r>
    </w:p>
    <w:p>
      <w:pPr>
        <w:spacing w:before="0" w:after="140" w:line="240" w:lineRule="auto"/>
      </w:pPr>
      <w:r>
        <w:rPr>
          <w:rFonts w:ascii="Calibri" w:hAnsi="Calibri" w:cs="Calibri"/>
          <w:sz w:val="20"/>
        </w:rPr>
        <w:t xml:space="preserve">The constraint that shaped the design throughout was SystemJ’s reaction semantics. Persistence is blocking and transactional; a synchronous reaction is neither. Keeping every database operation off every SystemJ-facing thread — through a non-blocking bus, a single worker, and an explicit rule about what may be held while a query runs — is what allowed a genuinely transactional store to be added to a real-time control system without changing its timing behaviour.</w:t>
      </w:r>
    </w:p>
    <w:p>
      <w:pPr>
        <w:spacing w:before="0" w:after="200" w:line="240" w:lineRule="auto"/>
      </w:pPr>
      <w:r>
        <w:rPr>
          <w:rFonts w:ascii="Calibri" w:hAnsi="Calibri" w:cs="Calibri"/>
          <w:sz w:val="20"/>
        </w:rPr>
        <w:t xml:space="preserve">Three capabilities follow from persistence and could not be built without it: deviation detection against a recorded route, event-based recovery from an abrupt interruption, and a fault log that records resolutions as well as failures. A fourth, cross-order consolidation, is reported as an implemented feature whose original justification did not survive examination — and whose real value, on reflection, is as evidence that persisting orders makes whole-queue scheduling decisions expressible at all.</w:t>
      </w:r>
    </w:p>
    <w:p>
      <w:pPr>
        <w:pStyle w:val="Heading1"/>
        <w:keepNext/>
        <w:pBdr>
          <w:bottom w:val="single" w:sz="6" w:space="4" w:color="999999"/>
        </w:pBdr>
        <w:spacing w:before="280" w:after="120" w:line="240" w:lineRule="auto"/>
      </w:pPr>
      <w:r>
        <w:rPr>
          <w:rFonts w:ascii="Calibri" w:hAnsi="Calibri" w:cs="Calibri"/>
          <w:b/>
          <w:color w:val="1F3864"/>
          <w:sz w:val="32"/>
        </w:rPr>
        <w:t xml:space="preserve">References</w:t>
      </w:r>
    </w:p>
    <w:p>
      <w:pPr>
        <w:ind w:left="460" w:hanging="460"/>
        <w:spacing w:before="0" w:after="60" w:line="240" w:lineRule="auto"/>
      </w:pPr>
      <w:r>
        <w:rPr>
          <w:rFonts w:ascii="Calibri" w:hAnsi="Calibri" w:cs="Calibri"/>
          <w:sz w:val="19.0"/>
        </w:rPr>
        <w:t xml:space="preserve">[1]  Malik, A., Salcic, Z., Roop, P. S., &amp; Girault, A. (2010). SystemJ: A GALS language for system level design. Computer Languages, Systems and Structures, 36(4), 317–344.</w:t>
      </w:r>
    </w:p>
    <w:p>
      <w:pPr>
        <w:ind w:left="460" w:hanging="460"/>
        <w:spacing w:before="0" w:after="60" w:line="240" w:lineRule="auto"/>
      </w:pPr>
      <w:r>
        <w:rPr>
          <w:rFonts w:ascii="Calibri" w:hAnsi="Calibri" w:cs="Calibri"/>
          <w:sz w:val="19.0"/>
        </w:rPr>
        <w:t xml:space="preserve">[2]  Dwi Atmojo, U., Salcic, Z., &amp; Wang, K.-K. (2018). Dynamic reconfiguration and adaptation of manufacturing systems using SOSJ framework. IEEE Transactions on Industrial Informatics, 14(6), 2353–2363.</w:t>
      </w:r>
    </w:p>
    <w:p>
      <w:pPr>
        <w:ind w:left="460" w:hanging="460"/>
        <w:spacing w:before="0" w:after="60" w:line="240" w:lineRule="auto"/>
      </w:pPr>
      <w:r>
        <w:rPr>
          <w:rFonts w:ascii="Calibri" w:hAnsi="Calibri" w:cs="Calibri"/>
          <w:sz w:val="19.0"/>
        </w:rPr>
        <w:t xml:space="preserve">[3]  Salcic, Z., Dwi Atmojo, U., Park, H., Chen, A.-Y., &amp; Wang, K.-K. (2017). Designing dynamic and collaborative automation and robotics software systems. IEEE Transactions on Industrial Informatics.</w:t>
      </w:r>
    </w:p>
    <w:p>
      <w:pPr>
        <w:ind w:left="460" w:hanging="460"/>
        <w:spacing w:before="0" w:after="60" w:line="240" w:lineRule="auto"/>
      </w:pPr>
      <w:r>
        <w:rPr>
          <w:rFonts w:ascii="Calibri" w:hAnsi="Calibri" w:cs="Calibri"/>
          <w:sz w:val="19.0"/>
        </w:rPr>
        <w:t xml:space="preserve">[4]  COMPSYS 704-2026 Project 1: GP and IP brief (revised 2026). Department of Electrical, Computer and Software Engineering, University of Auckland.</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0"/>
        <w:lang w:val="en-NZ"/>
      </w:rPr>
    </w:rPrDefault>
  </w:docDefaults>
  <w:style w:type="paragraph" w:default="1" w:styleId="Normal">
    <w:name w:val="Normal"/>
    <w:pPr>
      <w:spacing w:after="120" w:line="240" w:lineRule="auto"/>
    </w:pPr>
  </w:style>
  <w:style w:type="paragraph" w:styleId="Heading1">
    <w:name w:val="heading 1"/>
    <w:basedOn w:val="Normal"/>
    <w:next w:val="Normal"/>
    <w:pPr>
      <w:keepNext/>
      <w:spacing w:before="280" w:after="120"/>
      <w:outlineLvl w:val="0"/>
    </w:pPr>
    <w:rPr>
      <w:b/>
      <w:sz w:val="32"/>
      <w:color w:val="1F3864"/>
    </w:rPr>
  </w:style>
  <w:style w:type="paragraph" w:styleId="Heading2">
    <w:name w:val="heading 2"/>
    <w:basedOn w:val="Normal"/>
    <w:next w:val="Normal"/>
    <w:pPr>
      <w:keepNext/>
      <w:spacing w:before="200" w:after="100"/>
      <w:outlineLvl w:val="1"/>
    </w:pPr>
    <w:rPr>
      <w:b/>
      <w:sz w:val="26"/>
      <w:color w:val="2E5395"/>
    </w:rPr>
  </w:style>
  <w:style w:type="paragraph" w:styleId="Heading3">
    <w:name w:val="heading 3"/>
    <w:basedOn w:val="Normal"/>
    <w:next w:val="Normal"/>
    <w:pPr>
      <w:keepNext/>
      <w:spacing w:before="160" w:after="80"/>
      <w:outlineLvl w:val="2"/>
    </w:pPr>
    <w:rPr>
      <w:b/>
      <w:sz w:val="23"/>
      <w:color w:val="1A1A1A"/>
    </w:rPr>
  </w:style>
  <w:style w:type="paragraph" w:styleId="Title">
    <w:name w:val="Title"/>
    <w:basedOn w:val="Normal"/>
    <w:pPr>
      <w:jc w:val="center"/>
      <w:spacing w:before="0" w:after="200"/>
    </w:pPr>
    <w:rPr>
      <w:b/>
      <w:sz w:val="40"/>
      <w:color w:val="1F386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 OOXML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COMPSYS 704 Group Project Final Report</dc:title>
  <dc:creator>Group 7</dc:creator>
  <dc:subject>Advantech Extended Automated Bottling System</dc:subject>
</cp:coreProperties>
</file>