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pPr>
      <w:r>
        <w:rPr>
          <w:i/>
          <w:iCs/>
          <w:color w:val="6B6B66"/>
        </w:rPr>
        <w:t xml:space="preserve">El punto de partida real de Obras Públicas, es sobre esta base que se construye SIGEP 360, no sobre un escenario ideal.</w:t>
      </w:r>
    </w:p>
    <w:p>
      <w:pPr>
        <w:spacing w:after="160" w:before="0"/>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pPr>
      <w:r>
        <w:t xml:space="preserve">La oportunidad de mejora no es necesariamente equipar más, sino programar y medir mejor el uso de los recursos existentes.</w:t>
      </w:r>
    </w:p>
    <w:p>
      <w:pPr>
        <w:spacing w:after="160" w:before="0"/>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pPr>
      <w:r>
        <w:rPr>
          <w:i/>
          <w:iCs/>
          <w:color w:val="6B6B66"/>
        </w:rPr>
        <w:t xml:space="preserve">SIGEP 360 no es, en primer lugar, una aplicación. Es un sistema de trabajo municipal — la plataforma digital es la herramienta que lo ejecuta.</w:t>
      </w:r>
    </w:p>
    <w:p>
      <w:pPr>
        <w:spacing w:after="160" w:before="0"/>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pPr>
      <w:r>
        <w:rPr>
          <w:b/>
          <w:bCs/>
        </w:rPr>
        <w:t xml:space="preserve">Bandas: 80–100 Bueno · 60–79 Atención · 40–59 Prioritario · 0–39 Crítico.</w:t>
      </w:r>
    </w:p>
    <w:p>
      <w:pPr>
        <w:spacing w:after="160" w:before="0"/>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pPr>
      <w:r>
        <w:t xml:space="preserve">Cada solicitud incluye edificio, solicitante, fecha, sector, descripción, fotografías y tipo de necesidad. Cada Orden de Trabajo lleva número, edificio, sector, problema, prioridad, fotos, cuadrilla, responsable, materiales, horas, fecha, resultado y observaciones.</w:t>
      </w:r>
    </w:p>
    <w:p>
      <w:pPr>
        <w:spacing w:after="160" w:before="0"/>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pPr>
      <w:r>
        <w:rPr>
          <w:i/>
          <w:iCs/>
          <w:color w:val="6B6B66"/>
          <w:sz w:val="20"/>
          <w:szCs w:val="20"/>
        </w:rPr>
        <w:t xml:space="preserve">OT  →  Necesidad  →  Stock municipal  →  BAMUR  →  Compra si es necesaria  →  Comparación de proveedores  →  Autorización  →  Retiro / entrega  →  Ejecución</w:t>
      </w:r>
    </w:p>
    <w:p>
      <w:pPr>
        <w:spacing w:after="160" w:before="0"/>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pPr>
      <w:r>
        <w:t xml:space="preserve">La cartografía de base es real: la Planta Urbana aportada por el Municipio, no un dibujo inventado. Incluye las 71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color w:val="2a78d6"/>
          <w:sz w:val="20"/>
          <w:szCs w:val="20"/>
        </w:rPr>
        <w:t xml:space="preserve">MEJORA (e)  </w:t>
      </w:r>
      <w:r>
        <w:rPr>
          <w:b/>
          <w:bCs/>
          <w:sz w:val="22"/>
          <w:szCs w:val="22"/>
        </w:rPr>
        <w:t xml:space="preserve">Financiamiento externo para SIGEP Verde</w:t>
      </w:r>
    </w:p>
    <w:p>
      <w:pPr>
        <w:spacing w:after="160" w:before="0"/>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pPr>
      <w:r>
        <w:rPr>
          <w:i/>
          <w:iCs/>
          <w:color w:val="6B6B66"/>
        </w:rPr>
        <w:t xml:space="preserve">SIGEP 360 no es un mecanismo de vigilancia del trabajador, y no puede depender de la buena voluntad de una sola gestión para sobrevivir.</w:t>
      </w:r>
    </w:p>
    <w:p>
      <w:pPr>
        <w:pStyle w:val="Heading3"/>
        <w:spacing w:after="100" w:before="220"/>
      </w:pPr>
      <w:r>
        <w:t xml:space="preserve">Personal, capacitación e incentivos</w:t>
      </w:r>
    </w:p>
    <w:p>
      <w:pPr>
        <w:spacing w:after="160" w:before="0"/>
      </w:pPr>
      <w:r>
        <w:t xml:space="preserve">La tecnología debe reducir improvisación y tareas administrativas innecesarias, no vigilar al trabajador.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color w:val="2a78d6"/>
          <w:sz w:val="20"/>
          <w:szCs w:val="20"/>
        </w:rPr>
        <w:t xml:space="preserve">MEJORA (a)  </w:t>
      </w:r>
      <w:r>
        <w:rPr>
          <w:b/>
          <w:bCs/>
          <w:sz w:val="22"/>
          <w:szCs w:val="22"/>
        </w:rPr>
        <w:t xml:space="preserve">Ordenanza de creación de SIGEP 360</w:t>
      </w:r>
    </w:p>
    <w:p>
      <w:pPr>
        <w:spacing w:after="160" w:before="0"/>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color w:val="2a78d6"/>
          <w:sz w:val="20"/>
          <w:szCs w:val="20"/>
        </w:rPr>
        <w:t xml:space="preserve">MEJORA (k)  </w:t>
      </w:r>
      <w:r>
        <w:rPr>
          <w:b/>
          <w:bCs/>
          <w:sz w:val="22"/>
          <w:szCs w:val="22"/>
        </w:rPr>
        <w:t xml:space="preserve">Costo en valor real, no en pesos nominales acumulados</w:t>
      </w:r>
    </w:p>
    <w:p>
      <w:pPr>
        <w:spacing w:after="160" w:before="0"/>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evita comparaciones económicas engañosas entre períodos con inflación muy distinta.</w:t>
      </w:r>
    </w:p>
    <w:p>
      <w:pPr>
        <w:pStyle w:val="Heading3"/>
        <w:spacing w:after="100" w:before="220"/>
      </w:pPr>
      <w:r>
        <w:t xml:space="preserve">Inteligencia Artificial: asistente, no reemplazo</w:t>
      </w:r>
    </w:p>
    <w:p>
      <w:pPr>
        <w:spacing w:after="160" w:before="0"/>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color w:val="2a78d6"/>
          <w:sz w:val="20"/>
          <w:szCs w:val="20"/>
        </w:rPr>
        <w:t xml:space="preserve">MEJORA (f)  </w:t>
      </w:r>
      <w:r>
        <w:rPr>
          <w:b/>
          <w:bCs/>
          <w:sz w:val="22"/>
          <w:szCs w:val="22"/>
        </w:rPr>
        <w:t xml:space="preserve">Tablero público de gobierno abierto</w:t>
      </w:r>
    </w:p>
    <w:p>
      <w:pPr>
        <w:spacing w:after="160" w:before="0"/>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color w:val="2a78d6"/>
          <w:sz w:val="20"/>
          <w:szCs w:val="20"/>
        </w:rPr>
        <w:t xml:space="preserve">MEJORA (h)  </w:t>
      </w:r>
      <w:r>
        <w:rPr>
          <w:b/>
          <w:bCs/>
          <w:sz w:val="22"/>
          <w:szCs w:val="22"/>
        </w:rPr>
        <w:t xml:space="preserve">ROI cuantificado del enfoque preventivo</w:t>
      </w:r>
    </w:p>
    <w:p>
      <w:pPr>
        <w:spacing w:after="160" w:before="0"/>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spacing w:after="40" w:before="160"/>
      </w:pPr>
      <w:r>
        <w:rPr>
          <w:b/>
          <w:bCs/>
          <w:color w:val="2a78d6"/>
          <w:sz w:val="20"/>
          <w:szCs w:val="20"/>
        </w:rPr>
        <w:t xml:space="preserve">MEJORA (d)  </w:t>
      </w:r>
      <w:r>
        <w:rPr>
          <w:b/>
          <w:bCs/>
          <w:sz w:val="22"/>
          <w:szCs w:val="22"/>
        </w:rPr>
        <w:t xml:space="preserve">Costos por fase, en orden de magnitud</w:t>
      </w:r>
    </w:p>
    <w:p>
      <w:pPr>
        <w:spacing w:after="160" w:before="0"/>
      </w:pPr>
      <w:r>
        <w:t xml:space="preserve">El MVP (Producto Mínimo Viable) 2027 se construye sobre un stack de bajo costo —PWA más base de datos abierta, sin licenciamiento por usuario— precisamente para no atar al Municipio a un proveedor caro desde el día uno.</w:t>
      </w:r>
    </w:p>
    <w:p>
      <w:pPr>
        <w:pStyle w:val="Heading3"/>
        <w:spacing w:after="100" w:before="220"/>
      </w:pPr>
      <w:r>
        <w:t xml:space="preserve">MVP 2027</w:t>
      </w:r>
    </w:p>
    <w:p>
      <w:pPr>
        <w:spacing w:after="160" w:before="0"/>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color w:val="2a78d6"/>
          <w:sz w:val="20"/>
          <w:szCs w:val="20"/>
        </w:rPr>
        <w:t xml:space="preserve">MEJORA (c)  </w:t>
      </w:r>
      <w:r>
        <w:rPr>
          <w:b/>
          <w:bCs/>
          <w:sz w:val="22"/>
          <w:szCs w:val="22"/>
        </w:rPr>
        <w:t xml:space="preserve">Sprint de diagnóstico "Año 0"</w:t>
      </w:r>
    </w:p>
    <w:p>
      <w:pPr>
        <w:spacing w:after="160" w:before="0"/>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pPr>
      <w:r>
        <w:rPr>
          <w:i/>
          <w:iCs/>
          <w:color w:val="6B6B66"/>
        </w:rPr>
        <w:t xml:space="preserve">Antes Escuela de Música — no es un ejemplo hipotético: es el edificio con el que se probó el concepto, con material real del archivo municipal.</w:t>
      </w:r>
    </w:p>
    <w:p>
      <w:pPr>
        <w:spacing w:after="160" w:before="0"/>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2026-10-06T18:39:21.383Z</dcterms:created>
  <dcterms:modified xsi:type="dcterms:W3CDTF">2026-10-06T18:39:21.384Z</dcterms:modified>
</cp:coreProperties>
</file>

<file path=docProps/custom.xml><?xml version="1.0" encoding="utf-8"?>
<Properties xmlns="http://schemas.openxmlformats.org/officeDocument/2006/custom-properties" xmlns:vt="http://schemas.openxmlformats.org/officeDocument/2006/docPropsVTypes"/>
</file>