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71b0bd37e5b5ab7497132084892e67462c69ff"/>
    <w:p>
      <w:pPr>
        <w:pStyle w:val="Heading1"/>
      </w:pPr>
      <w:r>
        <w:t xml:space="preserve">CREACIÓN DE ADDENDUM / EXTENSIÓN CONTRACTUAL — FASE D4</w:t>
      </w:r>
    </w:p>
    <w:p>
      <w:pPr>
        <w:pStyle w:val="FirstParagraph"/>
      </w:pPr>
      <w:r>
        <w:t xml:space="preserve">He revisado y apruebo conceptualmente la recomendación contenida en la propuesta</w:t>
      </w:r>
      <w:r>
        <w:t xml:space="preserve"> </w:t>
      </w:r>
      <w:r>
        <w:rPr>
          <w:b/>
          <w:bCs/>
        </w:rPr>
        <w:t xml:space="preserve">“Ground Truth y aprendizaje supervisado inicial — FASE D4”</w:t>
      </w:r>
      <w:r>
        <w:t xml:space="preserve"> </w:t>
      </w:r>
      <w:r>
        <w:t xml:space="preserve">de ampliar el contrato D4 antes de iniciar cualquier captura manual de etiquetas.</w:t>
      </w:r>
    </w:p>
    <w:p>
      <w:pPr>
        <w:pStyle w:val="BodyText"/>
      </w:pPr>
      <w:r>
        <w:t xml:space="preserve">La finalidad de esta instrucción es</w:t>
      </w:r>
      <w:r>
        <w:t xml:space="preserve"> </w:t>
      </w:r>
      <w:r>
        <w:rPr>
          <w:b/>
          <w:bCs/>
        </w:rPr>
        <w:t xml:space="preserve">crear únicamente el Addendum/Extensión contractual D4</w:t>
      </w:r>
      <w:r>
        <w:t xml:space="preserve"> </w:t>
      </w:r>
      <w:r>
        <w:t xml:space="preserve">que formalice las estructuras necesarias para ground truth, unidades de revisión, entrenamientos compuestos, incertidumbre, muestreo y particiones temporales.</w:t>
      </w:r>
    </w:p>
    <w:bookmarkStart w:id="9" w:name="restricciones-absolutas"/>
    <w:p>
      <w:pPr>
        <w:pStyle w:val="Heading2"/>
      </w:pPr>
      <w:r>
        <w:t xml:space="preserve">RESTRICCIONES ABSOLUTAS</w:t>
      </w:r>
    </w:p>
    <w:p>
      <w:pPr>
        <w:pStyle w:val="FirstParagraph"/>
      </w:pPr>
      <w:r>
        <w:t xml:space="preserve">Durante esta tarea:</w:t>
      </w:r>
    </w:p>
    <w:p>
      <w:pPr>
        <w:pStyle w:val="Compact"/>
        <w:numPr>
          <w:ilvl w:val="0"/>
          <w:numId w:val="1001"/>
        </w:numPr>
      </w:pPr>
      <w:r>
        <w:t xml:space="preserve">no implementes código;</w:t>
      </w:r>
    </w:p>
    <w:p>
      <w:pPr>
        <w:pStyle w:val="Compact"/>
        <w:numPr>
          <w:ilvl w:val="0"/>
          <w:numId w:val="1001"/>
        </w:numPr>
      </w:pPr>
      <w:r>
        <w:t xml:space="preserve">no modifiques archivos productivos;</w:t>
      </w:r>
    </w:p>
    <w:p>
      <w:pPr>
        <w:pStyle w:val="Compact"/>
        <w:numPr>
          <w:ilvl w:val="0"/>
          <w:numId w:val="1001"/>
        </w:numPr>
      </w:pPr>
      <w:r>
        <w:t xml:space="preserve">no etiquetes ninguna sesión;</w:t>
      </w:r>
    </w:p>
    <w:p>
      <w:pPr>
        <w:pStyle w:val="Compact"/>
        <w:numPr>
          <w:ilvl w:val="0"/>
          <w:numId w:val="1001"/>
        </w:numPr>
      </w:pPr>
      <w:r>
        <w:t xml:space="preserve">no generes ground truth real;</w:t>
      </w:r>
    </w:p>
    <w:p>
      <w:pPr>
        <w:pStyle w:val="Compact"/>
        <w:numPr>
          <w:ilvl w:val="0"/>
          <w:numId w:val="1001"/>
        </w:numPr>
      </w:pPr>
      <w:r>
        <w:t xml:space="preserve">no entrenes modelos;</w:t>
      </w:r>
    </w:p>
    <w:p>
      <w:pPr>
        <w:pStyle w:val="Compact"/>
        <w:numPr>
          <w:ilvl w:val="0"/>
          <w:numId w:val="1001"/>
        </w:numPr>
      </w:pPr>
      <w:r>
        <w:t xml:space="preserve">no ejecutes active learning;</w:t>
      </w:r>
    </w:p>
    <w:p>
      <w:pPr>
        <w:pStyle w:val="Compact"/>
        <w:numPr>
          <w:ilvl w:val="0"/>
          <w:numId w:val="1001"/>
        </w:numPr>
      </w:pPr>
      <w:r>
        <w:t xml:space="preserve">no crees</w:t>
      </w:r>
      <w:r>
        <w:t xml:space="preserve"> </w:t>
      </w:r>
      <w:r>
        <w:rPr>
          <w:rStyle w:val="VerbatimChar"/>
        </w:rPr>
        <w:t xml:space="preserve">workout_group_id</w:t>
      </w:r>
      <w:r>
        <w:t xml:space="preserve"> </w:t>
      </w:r>
      <w:r>
        <w:t xml:space="preserve">reales;</w:t>
      </w:r>
    </w:p>
    <w:p>
      <w:pPr>
        <w:pStyle w:val="Compact"/>
        <w:numPr>
          <w:ilvl w:val="0"/>
          <w:numId w:val="1001"/>
        </w:numPr>
      </w:pPr>
      <w:r>
        <w:t xml:space="preserve">no modifiques D1, D2, D3 ni el contrato D4 vigente;</w:t>
      </w:r>
    </w:p>
    <w:p>
      <w:pPr>
        <w:pStyle w:val="Compact"/>
        <w:numPr>
          <w:ilvl w:val="0"/>
          <w:numId w:val="1001"/>
        </w:numPr>
      </w:pPr>
      <w:r>
        <w:t xml:space="preserve">no modifiques</w:t>
      </w:r>
      <w:r>
        <w:t xml:space="preserve"> </w:t>
      </w:r>
      <w:r>
        <w:rPr>
          <w:rStyle w:val="VerbatimChar"/>
        </w:rPr>
        <w:t xml:space="preserve">sessions_master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no modifiques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no modifiques notebooks;</w:t>
      </w:r>
    </w:p>
    <w:p>
      <w:pPr>
        <w:pStyle w:val="Compact"/>
        <w:numPr>
          <w:ilvl w:val="0"/>
          <w:numId w:val="1001"/>
        </w:numPr>
      </w:pPr>
      <w:r>
        <w:t xml:space="preserve">no hagas staging;</w:t>
      </w:r>
    </w:p>
    <w:p>
      <w:pPr>
        <w:pStyle w:val="Compact"/>
        <w:numPr>
          <w:ilvl w:val="0"/>
          <w:numId w:val="1001"/>
        </w:numPr>
      </w:pPr>
      <w:r>
        <w:t xml:space="preserve">no hagas commit;</w:t>
      </w:r>
    </w:p>
    <w:p>
      <w:pPr>
        <w:pStyle w:val="Compact"/>
        <w:numPr>
          <w:ilvl w:val="0"/>
          <w:numId w:val="1001"/>
        </w:numPr>
      </w:pPr>
      <w:r>
        <w:t xml:space="preserve">no hagas push.</w:t>
      </w:r>
    </w:p>
    <w:p>
      <w:pPr>
        <w:pStyle w:val="FirstParagraph"/>
      </w:pPr>
      <w:r>
        <w:t xml:space="preserve">El resultado deberá ser exclusivamente un</w:t>
      </w:r>
      <w:r>
        <w:t xml:space="preserve"> </w:t>
      </w:r>
      <w:r>
        <w:rPr>
          <w:b/>
          <w:bCs/>
        </w:rPr>
        <w:t xml:space="preserve">documento contractual para revisión y aprobación humana</w:t>
      </w:r>
      <w:r>
        <w:t xml:space="preserve">.</w:t>
      </w:r>
    </w:p>
    <w:bookmarkEnd w:id="9"/>
    <w:bookmarkStart w:id="10" w:name="objetivo-del-addendum"/>
    <w:p>
      <w:pPr>
        <w:pStyle w:val="Heading2"/>
      </w:pPr>
      <w:r>
        <w:t xml:space="preserve">OBJETIVO DEL ADDENDUM</w:t>
      </w:r>
    </w:p>
    <w:p>
      <w:pPr>
        <w:pStyle w:val="FirstParagraph"/>
      </w:pPr>
      <w:r>
        <w:t xml:space="preserve">Extender D4 para que el sistema pueda representar de forma rigurosa, reproducible y auditable:</w:t>
      </w:r>
    </w:p>
    <w:p>
      <w:pPr>
        <w:pStyle w:val="Compact"/>
        <w:numPr>
          <w:ilvl w:val="0"/>
          <w:numId w:val="1002"/>
        </w:numPr>
      </w:pPr>
      <w:r>
        <w:t xml:space="preserve">unidades de revisión individuales y compuestas;</w:t>
      </w:r>
    </w:p>
    <w:p>
      <w:pPr>
        <w:pStyle w:val="Compact"/>
        <w:numPr>
          <w:ilvl w:val="0"/>
          <w:numId w:val="1002"/>
        </w:numPr>
      </w:pPr>
      <w:r>
        <w:t xml:space="preserve">decisiones manuales multidimensionales por sesión;</w:t>
      </w:r>
    </w:p>
    <w:p>
      <w:pPr>
        <w:pStyle w:val="Compact"/>
        <w:numPr>
          <w:ilvl w:val="0"/>
          <w:numId w:val="1002"/>
        </w:numPr>
      </w:pPr>
      <w:r>
        <w:t xml:space="preserve">entrenamientos compuestos;</w:t>
      </w:r>
    </w:p>
    <w:p>
      <w:pPr>
        <w:pStyle w:val="Compact"/>
        <w:numPr>
          <w:ilvl w:val="0"/>
          <w:numId w:val="1002"/>
        </w:numPr>
      </w:pPr>
      <w:r>
        <w:t xml:space="preserve">membresía y rol de cada sesión dentro de un entrenamiento;</w:t>
      </w:r>
    </w:p>
    <w:p>
      <w:pPr>
        <w:pStyle w:val="Compact"/>
        <w:numPr>
          <w:ilvl w:val="0"/>
          <w:numId w:val="1002"/>
        </w:numPr>
      </w:pPr>
      <w:r>
        <w:t xml:space="preserve">incertidumbre y abstención por dimensión;</w:t>
      </w:r>
    </w:p>
    <w:p>
      <w:pPr>
        <w:pStyle w:val="Compact"/>
        <w:numPr>
          <w:ilvl w:val="0"/>
          <w:numId w:val="1002"/>
        </w:numPr>
      </w:pPr>
      <w:r>
        <w:t xml:space="preserve">procedencia y nivel de evidencia;</w:t>
      </w:r>
    </w:p>
    <w:p>
      <w:pPr>
        <w:pStyle w:val="Compact"/>
        <w:numPr>
          <w:ilvl w:val="0"/>
          <w:numId w:val="1002"/>
        </w:numPr>
      </w:pPr>
      <w:r>
        <w:t xml:space="preserve">estrategia y trazabilidad del muestreo;</w:t>
      </w:r>
    </w:p>
    <w:p>
      <w:pPr>
        <w:pStyle w:val="Compact"/>
        <w:numPr>
          <w:ilvl w:val="0"/>
          <w:numId w:val="1002"/>
        </w:numPr>
      </w:pPr>
      <w:r>
        <w:t xml:space="preserve">particiones temporales para desarrollo, validación y prueba;</w:t>
      </w:r>
    </w:p>
    <w:p>
      <w:pPr>
        <w:pStyle w:val="Compact"/>
        <w:numPr>
          <w:ilvl w:val="0"/>
          <w:numId w:val="1002"/>
        </w:numPr>
      </w:pPr>
      <w:r>
        <w:t xml:space="preserve">historial append-only de correcciones;</w:t>
      </w:r>
    </w:p>
    <w:p>
      <w:pPr>
        <w:pStyle w:val="Compact"/>
        <w:numPr>
          <w:ilvl w:val="0"/>
          <w:numId w:val="1002"/>
        </w:numPr>
      </w:pPr>
      <w:r>
        <w:t xml:space="preserve">compatibilidad futura con active learning y múltiples corredores.</w:t>
      </w:r>
    </w:p>
    <w:bookmarkEnd w:id="10"/>
    <w:bookmarkStart w:id="15" w:name="entidades-contractuales-obligatorias"/>
    <w:p>
      <w:pPr>
        <w:pStyle w:val="Heading2"/>
      </w:pPr>
      <w:r>
        <w:t xml:space="preserve">1. ENTIDADES CONTRACTUALES OBLIGATORIAS</w:t>
      </w:r>
    </w:p>
    <w:p>
      <w:pPr>
        <w:pStyle w:val="FirstParagraph"/>
      </w:pPr>
      <w:r>
        <w:t xml:space="preserve">Define formalmente al menos las siguientes entidades conceptuales:</w:t>
      </w:r>
    </w:p>
    <w:bookmarkStart w:id="11" w:name="ground_truth_review_units"/>
    <w:p>
      <w:pPr>
        <w:pStyle w:val="Heading3"/>
      </w:pPr>
      <w:r>
        <w:rPr>
          <w:rStyle w:val="VerbatimChar"/>
        </w:rPr>
        <w:t xml:space="preserve">ground_truth_review_units</w:t>
      </w:r>
    </w:p>
    <w:p>
      <w:pPr>
        <w:pStyle w:val="FirstParagraph"/>
      </w:pPr>
      <w:r>
        <w:t xml:space="preserve">Representará la unidad presentada al revisor humano.</w:t>
      </w:r>
    </w:p>
    <w:p>
      <w:pPr>
        <w:pStyle w:val="BodyText"/>
      </w:pPr>
      <w:r>
        <w:t xml:space="preserve">Deberá soportar:</w:t>
      </w:r>
    </w:p>
    <w:p>
      <w:pPr>
        <w:pStyle w:val="Compact"/>
        <w:numPr>
          <w:ilvl w:val="0"/>
          <w:numId w:val="1003"/>
        </w:numPr>
      </w:pPr>
      <w:r>
        <w:t xml:space="preserve">sesión individual;</w:t>
      </w:r>
    </w:p>
    <w:p>
      <w:pPr>
        <w:pStyle w:val="Compact"/>
        <w:numPr>
          <w:ilvl w:val="0"/>
          <w:numId w:val="1003"/>
        </w:numPr>
      </w:pPr>
      <w:r>
        <w:t xml:space="preserve">conjunto candidato de sesiones;</w:t>
      </w:r>
    </w:p>
    <w:p>
      <w:pPr>
        <w:pStyle w:val="Compact"/>
        <w:numPr>
          <w:ilvl w:val="0"/>
          <w:numId w:val="1003"/>
        </w:numPr>
      </w:pPr>
      <w:r>
        <w:t xml:space="preserve">entrenamiento compuesto confirmado o sospechado;</w:t>
      </w:r>
    </w:p>
    <w:p>
      <w:pPr>
        <w:pStyle w:val="Compact"/>
        <w:numPr>
          <w:ilvl w:val="0"/>
          <w:numId w:val="1003"/>
        </w:numPr>
      </w:pPr>
      <w:r>
        <w:t xml:space="preserve">caso ambiguo;</w:t>
      </w:r>
    </w:p>
    <w:p>
      <w:pPr>
        <w:pStyle w:val="Compact"/>
        <w:numPr>
          <w:ilvl w:val="0"/>
          <w:numId w:val="1003"/>
        </w:numPr>
      </w:pPr>
      <w:r>
        <w:t xml:space="preserve">caso parcial.</w:t>
      </w:r>
    </w:p>
    <w:p>
      <w:pPr>
        <w:pStyle w:val="FirstParagraph"/>
      </w:pPr>
      <w:r>
        <w:t xml:space="preserve">Define campos, tipos, nulabilidad y significado contractual.</w:t>
      </w:r>
    </w:p>
    <w:p>
      <w:pPr>
        <w:pStyle w:val="BodyText"/>
      </w:pPr>
      <w:r>
        <w:t xml:space="preserve">Deberá incluir como mínimo conceptos equivalentes 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review_unit_id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runner_id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review_unit_type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sampling_batch_id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sampling_strategy_version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sampling_stratum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selection_reason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selection_probability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temporal_partition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review_status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assigned_at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completed_at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reviewer_id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reviewer_role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semantics_mode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knowledge_cutoff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data_manifest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feature_contract_version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code_commit</w:t>
      </w:r>
      <w:r>
        <w:t xml:space="preserve">.</w:t>
      </w:r>
    </w:p>
    <w:bookmarkEnd w:id="11"/>
    <w:bookmarkStart w:id="12" w:name="ground_truth_session_decisions"/>
    <w:p>
      <w:pPr>
        <w:pStyle w:val="Heading3"/>
      </w:pPr>
      <w:r>
        <w:rPr>
          <w:rStyle w:val="VerbatimChar"/>
        </w:rPr>
        <w:t xml:space="preserve">ground_truth_session_decisions</w:t>
      </w:r>
    </w:p>
    <w:p>
      <w:pPr>
        <w:pStyle w:val="FirstParagraph"/>
      </w:pPr>
      <w:r>
        <w:t xml:space="preserve">Representará la decisión humana sobre una sesión concreta.</w:t>
      </w:r>
    </w:p>
    <w:p>
      <w:pPr>
        <w:pStyle w:val="BodyText"/>
      </w:pPr>
      <w:r>
        <w:t xml:space="preserve">Debe preservar:</w:t>
      </w:r>
    </w:p>
    <w:p>
      <w:pPr>
        <w:pStyle w:val="Compact"/>
        <w:numPr>
          <w:ilvl w:val="0"/>
          <w:numId w:val="1005"/>
        </w:numPr>
      </w:pPr>
      <w:r>
        <w:t xml:space="preserve">identidad de la sesión;</w:t>
      </w:r>
    </w:p>
    <w:p>
      <w:pPr>
        <w:pStyle w:val="Compact"/>
        <w:numPr>
          <w:ilvl w:val="0"/>
          <w:numId w:val="1005"/>
        </w:numPr>
      </w:pPr>
      <w:r>
        <w:t xml:space="preserve">revisión;</w:t>
      </w:r>
    </w:p>
    <w:p>
      <w:pPr>
        <w:pStyle w:val="Compact"/>
        <w:numPr>
          <w:ilvl w:val="0"/>
          <w:numId w:val="1005"/>
        </w:numPr>
      </w:pPr>
      <w:r>
        <w:t xml:space="preserve">autor;</w:t>
      </w:r>
    </w:p>
    <w:p>
      <w:pPr>
        <w:pStyle w:val="Compact"/>
        <w:numPr>
          <w:ilvl w:val="0"/>
          <w:numId w:val="1005"/>
        </w:numPr>
      </w:pPr>
      <w:r>
        <w:t xml:space="preserve">evidencia;</w:t>
      </w:r>
    </w:p>
    <w:p>
      <w:pPr>
        <w:pStyle w:val="Compact"/>
        <w:numPr>
          <w:ilvl w:val="0"/>
          <w:numId w:val="1005"/>
        </w:numPr>
      </w:pPr>
      <w:r>
        <w:t xml:space="preserve">clasificación multidimensional;</w:t>
      </w:r>
    </w:p>
    <w:p>
      <w:pPr>
        <w:pStyle w:val="Compact"/>
        <w:numPr>
          <w:ilvl w:val="0"/>
          <w:numId w:val="1005"/>
        </w:numPr>
      </w:pPr>
      <w:r>
        <w:t xml:space="preserve">relevancia;</w:t>
      </w:r>
    </w:p>
    <w:p>
      <w:pPr>
        <w:pStyle w:val="Compact"/>
        <w:numPr>
          <w:ilvl w:val="0"/>
          <w:numId w:val="1005"/>
        </w:numPr>
      </w:pPr>
      <w:r>
        <w:t xml:space="preserve">incertidumbre;</w:t>
      </w:r>
    </w:p>
    <w:p>
      <w:pPr>
        <w:pStyle w:val="Compact"/>
        <w:numPr>
          <w:ilvl w:val="0"/>
          <w:numId w:val="1005"/>
        </w:numPr>
      </w:pPr>
      <w:r>
        <w:t xml:space="preserve">abstención;</w:t>
      </w:r>
    </w:p>
    <w:p>
      <w:pPr>
        <w:pStyle w:val="Compact"/>
        <w:numPr>
          <w:ilvl w:val="0"/>
          <w:numId w:val="1005"/>
        </w:numPr>
      </w:pPr>
      <w:r>
        <w:t xml:space="preserve">comentarios;</w:t>
      </w:r>
    </w:p>
    <w:p>
      <w:pPr>
        <w:pStyle w:val="Compact"/>
        <w:numPr>
          <w:ilvl w:val="0"/>
          <w:numId w:val="1005"/>
        </w:numPr>
      </w:pPr>
      <w:r>
        <w:t xml:space="preserve">versión contractual;</w:t>
      </w:r>
    </w:p>
    <w:p>
      <w:pPr>
        <w:pStyle w:val="Compact"/>
        <w:numPr>
          <w:ilvl w:val="0"/>
          <w:numId w:val="1005"/>
        </w:numPr>
      </w:pPr>
      <w:r>
        <w:t xml:space="preserve">relación con decisiones previas.</w:t>
      </w:r>
    </w:p>
    <w:p>
      <w:pPr>
        <w:pStyle w:val="FirstParagraph"/>
      </w:pPr>
      <w:r>
        <w:t xml:space="preserve">Incluye formalmente: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decision_id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runner_id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source_file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source_sha256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revision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author_id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author_role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decision_timestamp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effective_from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supersedes_decision_id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evidence_type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evidence_reference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evidence_level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session_context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workout_structure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primary_function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primary_function_subtype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primary_function_subtype_status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component_role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classification_status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performance_relevance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training_load_relevance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uncertainty_status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uncertainty_reason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abstention_dimension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abstention_reason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reviewer_comment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contract_version</w:t>
      </w:r>
      <w:r>
        <w:t xml:space="preserve">.</w:t>
      </w:r>
    </w:p>
    <w:bookmarkEnd w:id="12"/>
    <w:bookmarkStart w:id="13" w:name="ground_truth_workout_groups"/>
    <w:p>
      <w:pPr>
        <w:pStyle w:val="Heading3"/>
      </w:pPr>
      <w:r>
        <w:rPr>
          <w:rStyle w:val="VerbatimChar"/>
        </w:rPr>
        <w:t xml:space="preserve">ground_truth_workout_groups</w:t>
      </w:r>
    </w:p>
    <w:p>
      <w:pPr>
        <w:pStyle w:val="FirstParagraph"/>
      </w:pPr>
      <w:r>
        <w:t xml:space="preserve">Representará la decisión humana sobre la existencia de un entrenamiento compuesto.</w:t>
      </w:r>
    </w:p>
    <w:p>
      <w:pPr>
        <w:pStyle w:val="BodyText"/>
      </w:pPr>
      <w:r>
        <w:t xml:space="preserve">Define como mínimo: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group_decision_id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workout_group_id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runner_id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revision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group_status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group_primary_function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evidence_level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evidence_type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evidence_reference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decision_timestamp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supersedes_group_decision_id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reviewer_id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reviewer_role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decision_reason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contract_version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group_status</w:t>
      </w:r>
      <w:r>
        <w:t xml:space="preserve"> </w:t>
      </w:r>
      <w:r>
        <w:t xml:space="preserve">deberá admitir como mínimo: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confirmed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rejected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suspected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abstained</w:t>
      </w:r>
      <w:r>
        <w:t xml:space="preserve">.</w:t>
      </w:r>
    </w:p>
    <w:bookmarkEnd w:id="13"/>
    <w:bookmarkStart w:id="14" w:name="ground_truth_group_memberships"/>
    <w:p>
      <w:pPr>
        <w:pStyle w:val="Heading3"/>
      </w:pPr>
      <w:r>
        <w:rPr>
          <w:rStyle w:val="VerbatimChar"/>
        </w:rPr>
        <w:t xml:space="preserve">ground_truth_group_memberships</w:t>
      </w:r>
    </w:p>
    <w:p>
      <w:pPr>
        <w:pStyle w:val="FirstParagraph"/>
      </w:pPr>
      <w:r>
        <w:t xml:space="preserve">Representará la pertenencia de una sesión a un entrenamiento compuesto.</w:t>
      </w:r>
    </w:p>
    <w:p>
      <w:pPr>
        <w:pStyle w:val="BodyText"/>
      </w:pPr>
      <w:r>
        <w:t xml:space="preserve">Incluye formalmente: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membership_decision_id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workout_group_id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source_file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source_sha256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component_order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component_role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membership_status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evidence_level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revision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supersedes_membership_decision_id</w:t>
      </w:r>
      <w:r>
        <w:t xml:space="preserve">.</w:t>
      </w:r>
    </w:p>
    <w:bookmarkEnd w:id="14"/>
    <w:bookmarkEnd w:id="15"/>
    <w:bookmarkStart w:id="16" w:name="principio-append-only"/>
    <w:p>
      <w:pPr>
        <w:pStyle w:val="Heading2"/>
      </w:pPr>
      <w:r>
        <w:t xml:space="preserve">2. PRINCIPIO APPEND-ONLY</w:t>
      </w:r>
    </w:p>
    <w:p>
      <w:pPr>
        <w:pStyle w:val="FirstParagraph"/>
      </w:pPr>
      <w:r>
        <w:t xml:space="preserve">El Addendum deberá establecer expresamente que:</w:t>
      </w:r>
    </w:p>
    <w:p>
      <w:pPr>
        <w:pStyle w:val="Compact"/>
        <w:numPr>
          <w:ilvl w:val="0"/>
          <w:numId w:val="1010"/>
        </w:numPr>
      </w:pPr>
      <w:r>
        <w:t xml:space="preserve">ninguna decisión previa se sobrescribe;</w:t>
      </w:r>
    </w:p>
    <w:p>
      <w:pPr>
        <w:pStyle w:val="Compact"/>
        <w:numPr>
          <w:ilvl w:val="0"/>
          <w:numId w:val="1010"/>
        </w:numPr>
      </w:pPr>
      <w:r>
        <w:t xml:space="preserve">toda corrección crea una nueva revisión;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supersedes_*</w:t>
      </w:r>
      <w:r>
        <w:t xml:space="preserve"> </w:t>
      </w:r>
      <w:r>
        <w:t xml:space="preserve">enlaza la nueva decisión con la anterior;</w:t>
      </w:r>
    </w:p>
    <w:p>
      <w:pPr>
        <w:pStyle w:val="Compact"/>
        <w:numPr>
          <w:ilvl w:val="0"/>
          <w:numId w:val="1010"/>
        </w:numPr>
      </w:pPr>
      <w:r>
        <w:t xml:space="preserve">las decisiones históricas permanecen disponibles;</w:t>
      </w:r>
    </w:p>
    <w:p>
      <w:pPr>
        <w:pStyle w:val="Compact"/>
        <w:numPr>
          <w:ilvl w:val="0"/>
          <w:numId w:val="1010"/>
        </w:numPr>
      </w:pPr>
      <w:r>
        <w:t xml:space="preserve">cualquier resultado reproducible deberá indicar qué revisión utilizó.</w:t>
      </w:r>
    </w:p>
    <w:p>
      <w:pPr>
        <w:pStyle w:val="FirstParagraph"/>
      </w:pPr>
      <w:r>
        <w:t xml:space="preserve">No deberá existir corrección silenciosa del pasado.</w:t>
      </w:r>
    </w:p>
    <w:bookmarkEnd w:id="16"/>
    <w:bookmarkStart w:id="17" w:name="incertidumbre-y-abstención-por-dimensión"/>
    <w:p>
      <w:pPr>
        <w:pStyle w:val="Heading2"/>
      </w:pPr>
      <w:r>
        <w:t xml:space="preserve">3. INCERTIDUMBRE Y ABSTENCIÓN POR DIMENSIÓN</w:t>
      </w:r>
    </w:p>
    <w:p>
      <w:pPr>
        <w:pStyle w:val="FirstParagraph"/>
      </w:pPr>
      <w:r>
        <w:t xml:space="preserve">Formaliza que la abstención puede ocurrir de manera independiente para:</w:t>
      </w:r>
    </w:p>
    <w:p>
      <w:pPr>
        <w:pStyle w:val="Compact"/>
        <w:numPr>
          <w:ilvl w:val="0"/>
          <w:numId w:val="1011"/>
        </w:numPr>
      </w:pPr>
      <w:r>
        <w:t xml:space="preserve">contexto;</w:t>
      </w:r>
    </w:p>
    <w:p>
      <w:pPr>
        <w:pStyle w:val="Compact"/>
        <w:numPr>
          <w:ilvl w:val="0"/>
          <w:numId w:val="1011"/>
        </w:numPr>
      </w:pPr>
      <w:r>
        <w:t xml:space="preserve">estructura;</w:t>
      </w:r>
    </w:p>
    <w:p>
      <w:pPr>
        <w:pStyle w:val="Compact"/>
        <w:numPr>
          <w:ilvl w:val="0"/>
          <w:numId w:val="1011"/>
        </w:numPr>
      </w:pPr>
      <w:r>
        <w:t xml:space="preserve">función principal;</w:t>
      </w:r>
    </w:p>
    <w:p>
      <w:pPr>
        <w:pStyle w:val="Compact"/>
        <w:numPr>
          <w:ilvl w:val="0"/>
          <w:numId w:val="1011"/>
        </w:numPr>
      </w:pPr>
      <w:r>
        <w:t xml:space="preserve">subtipo;</w:t>
      </w:r>
    </w:p>
    <w:p>
      <w:pPr>
        <w:pStyle w:val="Compact"/>
        <w:numPr>
          <w:ilvl w:val="0"/>
          <w:numId w:val="1011"/>
        </w:numPr>
      </w:pPr>
      <w:r>
        <w:t xml:space="preserve">rol;</w:t>
      </w:r>
    </w:p>
    <w:p>
      <w:pPr>
        <w:pStyle w:val="Compact"/>
        <w:numPr>
          <w:ilvl w:val="0"/>
          <w:numId w:val="1011"/>
        </w:numPr>
      </w:pPr>
      <w:r>
        <w:t xml:space="preserve">agrupación;</w:t>
      </w:r>
    </w:p>
    <w:p>
      <w:pPr>
        <w:pStyle w:val="Compact"/>
        <w:numPr>
          <w:ilvl w:val="0"/>
          <w:numId w:val="1011"/>
        </w:numPr>
      </w:pPr>
      <w:r>
        <w:t xml:space="preserve">relevancia de rendimiento;</w:t>
      </w:r>
    </w:p>
    <w:p>
      <w:pPr>
        <w:pStyle w:val="Compact"/>
        <w:numPr>
          <w:ilvl w:val="0"/>
          <w:numId w:val="1011"/>
        </w:numPr>
      </w:pPr>
      <w:r>
        <w:t xml:space="preserve">relevancia de carga.</w:t>
      </w:r>
    </w:p>
    <w:p>
      <w:pPr>
        <w:pStyle w:val="FirstParagraph"/>
      </w:pPr>
      <w:r>
        <w:t xml:space="preserve">Define estados contractuales suficientemente claros para distinguir:</w:t>
      </w:r>
    </w:p>
    <w:p>
      <w:pPr>
        <w:pStyle w:val="Compact"/>
        <w:numPr>
          <w:ilvl w:val="0"/>
          <w:numId w:val="1012"/>
        </w:numPr>
      </w:pPr>
      <w:r>
        <w:t xml:space="preserve">afirmado;</w:t>
      </w:r>
    </w:p>
    <w:p>
      <w:pPr>
        <w:pStyle w:val="Compact"/>
        <w:numPr>
          <w:ilvl w:val="0"/>
          <w:numId w:val="1012"/>
        </w:numPr>
      </w:pPr>
      <w:r>
        <w:t xml:space="preserve">desconocido;</w:t>
      </w:r>
    </w:p>
    <w:p>
      <w:pPr>
        <w:pStyle w:val="Compact"/>
        <w:numPr>
          <w:ilvl w:val="0"/>
          <w:numId w:val="1012"/>
        </w:numPr>
      </w:pPr>
      <w:r>
        <w:t xml:space="preserve">incierto;</w:t>
      </w:r>
    </w:p>
    <w:p>
      <w:pPr>
        <w:pStyle w:val="Compact"/>
        <w:numPr>
          <w:ilvl w:val="0"/>
          <w:numId w:val="1012"/>
        </w:numPr>
      </w:pPr>
      <w:r>
        <w:t xml:space="preserve">abstención;</w:t>
      </w:r>
    </w:p>
    <w:p>
      <w:pPr>
        <w:pStyle w:val="Compact"/>
        <w:numPr>
          <w:ilvl w:val="0"/>
          <w:numId w:val="1012"/>
        </w:numPr>
      </w:pPr>
      <w:r>
        <w:t xml:space="preserve">no aplicable.</w:t>
      </w:r>
    </w:p>
    <w:p>
      <w:pPr>
        <w:pStyle w:val="FirstParagraph"/>
      </w:pPr>
      <w:r>
        <w:t xml:space="preserve">Para subtipos deberá existir al menos: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asserted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abstained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not_applicable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unknown</w:t>
      </w:r>
      <w:r>
        <w:t xml:space="preserve">.</w:t>
      </w:r>
    </w:p>
    <w:p>
      <w:pPr>
        <w:pStyle w:val="FirstParagraph"/>
      </w:pPr>
      <w:r>
        <w:t xml:space="preserve">La arquitectura no deberá obligar a perder una clasificación superior válida simplemente porque el subtipo sea incierto.</w:t>
      </w:r>
    </w:p>
    <w:p>
      <w:pPr>
        <w:pStyle w:val="BodyText"/>
      </w:pPr>
      <w:r>
        <w:t xml:space="preserve">Ejemplos contractuales: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sustained_quality</w:t>
      </w:r>
      <w:r>
        <w:t xml:space="preserve"> </w:t>
      </w:r>
      <w:r>
        <w:t xml:space="preserve">+ subtipo</w:t>
      </w:r>
      <w:r>
        <w:t xml:space="preserve"> </w:t>
      </w:r>
      <w:r>
        <w:rPr>
          <w:rStyle w:val="VerbatimChar"/>
        </w:rPr>
        <w:t xml:space="preserve">abstained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variable_intensity</w:t>
      </w:r>
      <w:r>
        <w:t xml:space="preserve"> </w:t>
      </w:r>
      <w:r>
        <w:t xml:space="preserve">+ subtipo</w:t>
      </w:r>
      <w:r>
        <w:t xml:space="preserve"> </w:t>
      </w:r>
      <w:r>
        <w:rPr>
          <w:rStyle w:val="VerbatimChar"/>
        </w:rPr>
        <w:t xml:space="preserve">abstained</w:t>
      </w:r>
      <w:r>
        <w:t xml:space="preserve">.</w:t>
      </w:r>
    </w:p>
    <w:bookmarkEnd w:id="17"/>
    <w:bookmarkStart w:id="18" w:name="niveles-de-evidencia"/>
    <w:p>
      <w:pPr>
        <w:pStyle w:val="Heading2"/>
      </w:pPr>
      <w:r>
        <w:t xml:space="preserve">4. NIVELES DE EVIDENCIA</w:t>
      </w:r>
    </w:p>
    <w:p>
      <w:pPr>
        <w:pStyle w:val="FirstParagraph"/>
      </w:pPr>
      <w:r>
        <w:t xml:space="preserve">Mantén como mínimo: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verified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reported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suspected</w:t>
      </w:r>
      <w:r>
        <w:t xml:space="preserve">.</w:t>
      </w:r>
    </w:p>
    <w:p>
      <w:pPr>
        <w:pStyle w:val="FirstParagraph"/>
      </w:pPr>
      <w:r>
        <w:t xml:space="preserve">Define con rigor qué significa cada uno y qué tipo de uso analítico permite.</w:t>
      </w:r>
    </w:p>
    <w:p>
      <w:pPr>
        <w:pStyle w:val="BodyText"/>
      </w:pPr>
      <w:r>
        <w:t xml:space="preserve">Una declaración del corredor no deberá promocionarse automáticamente a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</w:t>
      </w:r>
    </w:p>
    <w:p>
      <w:pPr>
        <w:pStyle w:val="BodyText"/>
      </w:pPr>
      <w:r>
        <w:t xml:space="preserve">La falta de evidencia deberá reducir el nivel de afirmación, no eliminar el registro.</w:t>
      </w:r>
    </w:p>
    <w:bookmarkEnd w:id="18"/>
    <w:bookmarkStart w:id="19" w:name="entrenamientos-compuestos"/>
    <w:p>
      <w:pPr>
        <w:pStyle w:val="Heading2"/>
      </w:pPr>
      <w:r>
        <w:t xml:space="preserve">5. ENTRENAMIENTOS COMPUESTOS</w:t>
      </w:r>
    </w:p>
    <w:p>
      <w:pPr>
        <w:pStyle w:val="FirstParagraph"/>
      </w:pPr>
      <w:r>
        <w:t xml:space="preserve">El Addendum deberá formalizar que una sesión Polar individual conserva siempre su identidad.</w:t>
      </w:r>
    </w:p>
    <w:p>
      <w:pPr>
        <w:pStyle w:val="BodyText"/>
      </w:pPr>
      <w:r>
        <w:t xml:space="preserve">Un entrenamiento compuesto será una relación analítica reversible entre varias sesiones.</w:t>
      </w:r>
    </w:p>
    <w:p>
      <w:pPr>
        <w:pStyle w:val="BodyText"/>
      </w:pPr>
      <w:r>
        <w:t xml:space="preserve">La confirmación de un grupo requerirá</w:t>
      </w:r>
      <w:r>
        <w:t xml:space="preserve"> </w:t>
      </w:r>
      <w:r>
        <w:rPr>
          <w:b/>
          <w:bCs/>
        </w:rPr>
        <w:t xml:space="preserve">más de una clase de evidencia independiente</w:t>
      </w:r>
      <w:r>
        <w:t xml:space="preserve">.</w:t>
      </w:r>
    </w:p>
    <w:p>
      <w:pPr>
        <w:pStyle w:val="BodyText"/>
      </w:pPr>
      <w:r>
        <w:t xml:space="preserve">Considera como posibles fuentes:</w:t>
      </w:r>
    </w:p>
    <w:p>
      <w:pPr>
        <w:pStyle w:val="Compact"/>
        <w:numPr>
          <w:ilvl w:val="0"/>
          <w:numId w:val="1016"/>
        </w:numPr>
      </w:pPr>
      <w:r>
        <w:t xml:space="preserve">memoria o diario;</w:t>
      </w:r>
    </w:p>
    <w:p>
      <w:pPr>
        <w:pStyle w:val="Compact"/>
        <w:numPr>
          <w:ilvl w:val="0"/>
          <w:numId w:val="1016"/>
        </w:numPr>
      </w:pPr>
      <w:r>
        <w:t xml:space="preserve">planificación del entrenador;</w:t>
      </w:r>
    </w:p>
    <w:p>
      <w:pPr>
        <w:pStyle w:val="Compact"/>
        <w:numPr>
          <w:ilvl w:val="0"/>
          <w:numId w:val="1016"/>
        </w:numPr>
      </w:pPr>
      <w:r>
        <w:t xml:space="preserve">objetivo Polar;</w:t>
      </w:r>
    </w:p>
    <w:p>
      <w:pPr>
        <w:pStyle w:val="Compact"/>
        <w:numPr>
          <w:ilvl w:val="0"/>
          <w:numId w:val="1016"/>
        </w:numPr>
      </w:pPr>
      <w:r>
        <w:t xml:space="preserve">laps;</w:t>
      </w:r>
    </w:p>
    <w:p>
      <w:pPr>
        <w:pStyle w:val="Compact"/>
        <w:numPr>
          <w:ilvl w:val="0"/>
          <w:numId w:val="1016"/>
        </w:numPr>
      </w:pPr>
      <w:r>
        <w:t xml:space="preserve">series temporales;</w:t>
      </w:r>
    </w:p>
    <w:p>
      <w:pPr>
        <w:pStyle w:val="Compact"/>
        <w:numPr>
          <w:ilvl w:val="0"/>
          <w:numId w:val="1016"/>
        </w:numPr>
      </w:pPr>
      <w:r>
        <w:t xml:space="preserve">estructura repetitiva;</w:t>
      </w:r>
    </w:p>
    <w:p>
      <w:pPr>
        <w:pStyle w:val="Compact"/>
        <w:numPr>
          <w:ilvl w:val="0"/>
          <w:numId w:val="1016"/>
        </w:numPr>
      </w:pPr>
      <w:r>
        <w:t xml:space="preserve">notas;</w:t>
      </w:r>
    </w:p>
    <w:p>
      <w:pPr>
        <w:pStyle w:val="Compact"/>
        <w:numPr>
          <w:ilvl w:val="0"/>
          <w:numId w:val="1016"/>
        </w:numPr>
      </w:pPr>
      <w:r>
        <w:t xml:space="preserve">continuidad contextual;</w:t>
      </w:r>
    </w:p>
    <w:p>
      <w:pPr>
        <w:pStyle w:val="Compact"/>
        <w:numPr>
          <w:ilvl w:val="0"/>
          <w:numId w:val="1016"/>
        </w:numPr>
      </w:pPr>
      <w:r>
        <w:t xml:space="preserve">metadata explícita.</w:t>
      </w:r>
    </w:p>
    <w:p>
      <w:pPr>
        <w:pStyle w:val="FirstParagraph"/>
      </w:pPr>
      <w:r>
        <w:t xml:space="preserve">La proximidad temporal podrá ser una señal, pero nunca criterio suficiente.</w:t>
      </w:r>
    </w:p>
    <w:p>
      <w:pPr>
        <w:pStyle w:val="BodyText"/>
      </w:pPr>
      <w:r>
        <w:t xml:space="preserve">No fijes todavía un umbral temporal normativo.</w:t>
      </w:r>
    </w:p>
    <w:bookmarkEnd w:id="19"/>
    <w:bookmarkStart w:id="20" w:name="muestreo-y-sesgo-de-selección"/>
    <w:p>
      <w:pPr>
        <w:pStyle w:val="Heading2"/>
      </w:pPr>
      <w:r>
        <w:t xml:space="preserve">6. MUESTREO Y SESGO DE SELECCIÓN</w:t>
      </w:r>
    </w:p>
    <w:p>
      <w:pPr>
        <w:pStyle w:val="FirstParagraph"/>
      </w:pPr>
      <w:r>
        <w:t xml:space="preserve">El Addendum deberá formalizar la procedencia de cada unidad seleccionada.</w:t>
      </w:r>
    </w:p>
    <w:p>
      <w:pPr>
        <w:pStyle w:val="BodyText"/>
      </w:pPr>
      <w:r>
        <w:t xml:space="preserve">Debe quedar registrado:</w:t>
      </w:r>
    </w:p>
    <w:p>
      <w:pPr>
        <w:pStyle w:val="Compact"/>
        <w:numPr>
          <w:ilvl w:val="0"/>
          <w:numId w:val="1017"/>
        </w:numPr>
      </w:pPr>
      <w:r>
        <w:t xml:space="preserve">lote;</w:t>
      </w:r>
    </w:p>
    <w:p>
      <w:pPr>
        <w:pStyle w:val="Compact"/>
        <w:numPr>
          <w:ilvl w:val="0"/>
          <w:numId w:val="1017"/>
        </w:numPr>
      </w:pPr>
      <w:r>
        <w:t xml:space="preserve">estrategia;</w:t>
      </w:r>
    </w:p>
    <w:p>
      <w:pPr>
        <w:pStyle w:val="Compact"/>
        <w:numPr>
          <w:ilvl w:val="0"/>
          <w:numId w:val="1017"/>
        </w:numPr>
      </w:pPr>
      <w:r>
        <w:t xml:space="preserve">estrato;</w:t>
      </w:r>
    </w:p>
    <w:p>
      <w:pPr>
        <w:pStyle w:val="Compact"/>
        <w:numPr>
          <w:ilvl w:val="0"/>
          <w:numId w:val="1017"/>
        </w:numPr>
      </w:pPr>
      <w:r>
        <w:t xml:space="preserve">motivo;</w:t>
      </w:r>
    </w:p>
    <w:p>
      <w:pPr>
        <w:pStyle w:val="Compact"/>
        <w:numPr>
          <w:ilvl w:val="0"/>
          <w:numId w:val="1017"/>
        </w:numPr>
      </w:pPr>
      <w:r>
        <w:t xml:space="preserve">probabilidad de selección;</w:t>
      </w:r>
    </w:p>
    <w:p>
      <w:pPr>
        <w:pStyle w:val="Compact"/>
        <w:numPr>
          <w:ilvl w:val="0"/>
          <w:numId w:val="1017"/>
        </w:numPr>
      </w:pPr>
      <w:r>
        <w:t xml:space="preserve">partición temporal.</w:t>
      </w:r>
    </w:p>
    <w:p>
      <w:pPr>
        <w:pStyle w:val="FirstParagraph"/>
      </w:pPr>
      <w:r>
        <w:t xml:space="preserve">Esto es obligatorio para poder auditar posteriormente sesgo de muestreo y resultados obtenidos mediante active learning.</w:t>
      </w:r>
    </w:p>
    <w:p>
      <w:pPr>
        <w:pStyle w:val="BodyText"/>
      </w:pPr>
      <w:r>
        <w:t xml:space="preserve">No se permitirá reconstruir retrospectivamente una estrategia de muestreo que no haya quedado registrada.</w:t>
      </w:r>
    </w:p>
    <w:bookmarkEnd w:id="20"/>
    <w:bookmarkStart w:id="21" w:name="particiones-temporales"/>
    <w:p>
      <w:pPr>
        <w:pStyle w:val="Heading2"/>
      </w:pPr>
      <w:r>
        <w:t xml:space="preserve">7. PARTICIONES TEMPORALES</w:t>
      </w:r>
    </w:p>
    <w:p>
      <w:pPr>
        <w:pStyle w:val="FirstParagraph"/>
      </w:pPr>
      <w:r>
        <w:t xml:space="preserve">Formaliza conceptualmente una separación temporal entre:</w:t>
      </w:r>
    </w:p>
    <w:p>
      <w:pPr>
        <w:pStyle w:val="Compact"/>
        <w:numPr>
          <w:ilvl w:val="0"/>
          <w:numId w:val="1018"/>
        </w:numPr>
      </w:pPr>
      <w:r>
        <w:t xml:space="preserve">desarrollo;</w:t>
      </w:r>
    </w:p>
    <w:p>
      <w:pPr>
        <w:pStyle w:val="Compact"/>
        <w:numPr>
          <w:ilvl w:val="0"/>
          <w:numId w:val="1018"/>
        </w:numPr>
      </w:pPr>
      <w:r>
        <w:t xml:space="preserve">validación;</w:t>
      </w:r>
    </w:p>
    <w:p>
      <w:pPr>
        <w:pStyle w:val="Compact"/>
        <w:numPr>
          <w:ilvl w:val="0"/>
          <w:numId w:val="1018"/>
        </w:numPr>
      </w:pPr>
      <w:r>
        <w:t xml:space="preserve">prueba temporal bloqueada.</w:t>
      </w:r>
    </w:p>
    <w:p>
      <w:pPr>
        <w:pStyle w:val="FirstParagraph"/>
      </w:pPr>
      <w:r>
        <w:t xml:space="preserve">La prueba bloqueada no podrá participar en:</w:t>
      </w:r>
    </w:p>
    <w:p>
      <w:pPr>
        <w:pStyle w:val="Compact"/>
        <w:numPr>
          <w:ilvl w:val="0"/>
          <w:numId w:val="1019"/>
        </w:numPr>
      </w:pPr>
      <w:r>
        <w:t xml:space="preserve">entrenamiento;</w:t>
      </w:r>
    </w:p>
    <w:p>
      <w:pPr>
        <w:pStyle w:val="Compact"/>
        <w:numPr>
          <w:ilvl w:val="0"/>
          <w:numId w:val="1019"/>
        </w:numPr>
      </w:pPr>
      <w:r>
        <w:t xml:space="preserve">ajuste de reglas;</w:t>
      </w:r>
    </w:p>
    <w:p>
      <w:pPr>
        <w:pStyle w:val="Compact"/>
        <w:numPr>
          <w:ilvl w:val="0"/>
          <w:numId w:val="1019"/>
        </w:numPr>
      </w:pPr>
      <w:r>
        <w:t xml:space="preserve">calibración;</w:t>
      </w:r>
    </w:p>
    <w:p>
      <w:pPr>
        <w:pStyle w:val="Compact"/>
        <w:numPr>
          <w:ilvl w:val="0"/>
          <w:numId w:val="1019"/>
        </w:numPr>
      </w:pPr>
      <w:r>
        <w:t xml:space="preserve">selección de features;</w:t>
      </w:r>
    </w:p>
    <w:p>
      <w:pPr>
        <w:pStyle w:val="Compact"/>
        <w:numPr>
          <w:ilvl w:val="0"/>
          <w:numId w:val="1019"/>
        </w:numPr>
      </w:pPr>
      <w:r>
        <w:t xml:space="preserve">active learning;</w:t>
      </w:r>
    </w:p>
    <w:p>
      <w:pPr>
        <w:pStyle w:val="Compact"/>
        <w:numPr>
          <w:ilvl w:val="0"/>
          <w:numId w:val="1019"/>
        </w:numPr>
      </w:pPr>
      <w:r>
        <w:t xml:space="preserve">selección de umbrales.</w:t>
      </w:r>
    </w:p>
    <w:p>
      <w:pPr>
        <w:pStyle w:val="FirstParagraph"/>
      </w:pPr>
      <w:r>
        <w:t xml:space="preserve">El Addendum podrá conservar como propuesta inicial la partición:</w:t>
      </w:r>
    </w:p>
    <w:p>
      <w:pPr>
        <w:pStyle w:val="Compact"/>
        <w:numPr>
          <w:ilvl w:val="0"/>
          <w:numId w:val="1020"/>
        </w:numPr>
      </w:pPr>
      <w:r>
        <w:t xml:space="preserve">2019–2023: desarrollo;</w:t>
      </w:r>
    </w:p>
    <w:p>
      <w:pPr>
        <w:pStyle w:val="Compact"/>
        <w:numPr>
          <w:ilvl w:val="0"/>
          <w:numId w:val="1020"/>
        </w:numPr>
      </w:pPr>
      <w:r>
        <w:t xml:space="preserve">2024: validación;</w:t>
      </w:r>
    </w:p>
    <w:p>
      <w:pPr>
        <w:pStyle w:val="Compact"/>
        <w:numPr>
          <w:ilvl w:val="0"/>
          <w:numId w:val="1020"/>
        </w:numPr>
      </w:pPr>
      <w:r>
        <w:t xml:space="preserve">2025–2026: prueba bloqueada;</w:t>
      </w:r>
    </w:p>
    <w:p>
      <w:pPr>
        <w:pStyle w:val="FirstParagraph"/>
      </w:pPr>
      <w:r>
        <w:t xml:space="preserve">pero deberá dejar claro si estos límites son normativos o si requieren una aprobación específica posterior.</w:t>
      </w:r>
    </w:p>
    <w:p>
      <w:pPr>
        <w:pStyle w:val="BodyText"/>
      </w:pPr>
      <w:r>
        <w:t xml:space="preserve">No conviertas una propuesta temporal en regla irreversible sin explicitarlo.</w:t>
      </w:r>
    </w:p>
    <w:bookmarkEnd w:id="21"/>
    <w:bookmarkStart w:id="22" w:name="active-learning"/>
    <w:p>
      <w:pPr>
        <w:pStyle w:val="Heading2"/>
      </w:pPr>
      <w:r>
        <w:t xml:space="preserve">8. ACTIVE LEARNING</w:t>
      </w:r>
    </w:p>
    <w:p>
      <w:pPr>
        <w:pStyle w:val="FirstParagraph"/>
      </w:pPr>
      <w:r>
        <w:t xml:space="preserve">El Addendum deberá preparar la arquitectura para active learning, pero</w:t>
      </w:r>
      <w:r>
        <w:t xml:space="preserve"> </w:t>
      </w:r>
      <w:r>
        <w:rPr>
          <w:b/>
          <w:bCs/>
        </w:rPr>
        <w:t xml:space="preserve">no autorizar todavía su ejecución</w:t>
      </w:r>
      <w:r>
        <w:t xml:space="preserve">.</w:t>
      </w:r>
    </w:p>
    <w:p>
      <w:pPr>
        <w:pStyle w:val="BodyText"/>
      </w:pPr>
      <w:r>
        <w:t xml:space="preserve">Deberá permitir registrar:</w:t>
      </w:r>
    </w:p>
    <w:p>
      <w:pPr>
        <w:pStyle w:val="Compact"/>
        <w:numPr>
          <w:ilvl w:val="0"/>
          <w:numId w:val="1021"/>
        </w:numPr>
      </w:pPr>
      <w:r>
        <w:t xml:space="preserve">estrategia de selección;</w:t>
      </w:r>
    </w:p>
    <w:p>
      <w:pPr>
        <w:pStyle w:val="Compact"/>
        <w:numPr>
          <w:ilvl w:val="0"/>
          <w:numId w:val="1021"/>
        </w:numPr>
      </w:pPr>
      <w:r>
        <w:t xml:space="preserve">versión;</w:t>
      </w:r>
    </w:p>
    <w:p>
      <w:pPr>
        <w:pStyle w:val="Compact"/>
        <w:numPr>
          <w:ilvl w:val="0"/>
          <w:numId w:val="1021"/>
        </w:numPr>
      </w:pPr>
      <w:r>
        <w:t xml:space="preserve">incertidumbre;</w:t>
      </w:r>
    </w:p>
    <w:p>
      <w:pPr>
        <w:pStyle w:val="Compact"/>
        <w:numPr>
          <w:ilvl w:val="0"/>
          <w:numId w:val="1021"/>
        </w:numPr>
      </w:pPr>
      <w:r>
        <w:t xml:space="preserve">desacuerdo entre métodos;</w:t>
      </w:r>
    </w:p>
    <w:p>
      <w:pPr>
        <w:pStyle w:val="Compact"/>
        <w:numPr>
          <w:ilvl w:val="0"/>
          <w:numId w:val="1021"/>
        </w:numPr>
      </w:pPr>
      <w:r>
        <w:t xml:space="preserve">diversidad;</w:t>
      </w:r>
    </w:p>
    <w:p>
      <w:pPr>
        <w:pStyle w:val="Compact"/>
        <w:numPr>
          <w:ilvl w:val="0"/>
          <w:numId w:val="1021"/>
        </w:numPr>
      </w:pPr>
      <w:r>
        <w:t xml:space="preserve">cobertura;</w:t>
      </w:r>
    </w:p>
    <w:p>
      <w:pPr>
        <w:pStyle w:val="Compact"/>
        <w:numPr>
          <w:ilvl w:val="0"/>
          <w:numId w:val="1021"/>
        </w:numPr>
      </w:pPr>
      <w:r>
        <w:t xml:space="preserve">clases raras;</w:t>
      </w:r>
    </w:p>
    <w:p>
      <w:pPr>
        <w:pStyle w:val="Compact"/>
        <w:numPr>
          <w:ilvl w:val="0"/>
          <w:numId w:val="1021"/>
        </w:numPr>
      </w:pPr>
      <w:r>
        <w:t xml:space="preserve">muestra aleatoria de control.</w:t>
      </w:r>
    </w:p>
    <w:p>
      <w:pPr>
        <w:pStyle w:val="FirstParagraph"/>
      </w:pPr>
      <w:r>
        <w:t xml:space="preserve">La prueba temporal bloqueada quedará fuera de cualquier pool de active learning.</w:t>
      </w:r>
    </w:p>
    <w:bookmarkEnd w:id="22"/>
    <w:bookmarkStart w:id="23" w:name="relación-con-d3"/>
    <w:p>
      <w:pPr>
        <w:pStyle w:val="Heading2"/>
      </w:pPr>
      <w:r>
        <w:t xml:space="preserve">9. RELACIÓN CON D3</w:t>
      </w:r>
    </w:p>
    <w:p>
      <w:pPr>
        <w:pStyle w:val="FirstParagraph"/>
      </w:pPr>
      <w:r>
        <w:t xml:space="preserve">El Addendum deberá reiterar que una buena clasificación D4 no demuestra por sí misma utilidad para predecir carreras.</w:t>
      </w:r>
    </w:p>
    <w:p>
      <w:pPr>
        <w:pStyle w:val="BodyText"/>
      </w:pPr>
      <w:r>
        <w:t xml:space="preserve">La evaluación futura seguirá siendo:</w:t>
      </w:r>
    </w:p>
    <w:p>
      <w:pPr>
        <w:pStyle w:val="BodyText"/>
      </w:pPr>
      <w:r>
        <w:rPr>
          <w:rStyle w:val="VerbatimChar"/>
        </w:rPr>
        <w:t xml:space="preserve">baseline competitivo D3</w:t>
      </w:r>
    </w:p>
    <w:p>
      <w:pPr>
        <w:pStyle w:val="BodyText"/>
      </w:pPr>
      <w:r>
        <w:t xml:space="preserve">frente a</w:t>
      </w:r>
    </w:p>
    <w:p>
      <w:pPr>
        <w:pStyle w:val="BodyText"/>
      </w:pPr>
      <w:r>
        <w:rPr>
          <w:rStyle w:val="VerbatimChar"/>
        </w:rPr>
        <w:t xml:space="preserve">baseline competitivo D3 + features D4</w:t>
      </w:r>
    </w:p>
    <w:p>
      <w:pPr>
        <w:pStyle w:val="BodyText"/>
      </w:pPr>
      <w:r>
        <w:t xml:space="preserve">mediante walk-forward pre-race, sobre las mismas carreras evaluables y sin data leakage.</w:t>
      </w:r>
    </w:p>
    <w:bookmarkEnd w:id="23"/>
    <w:bookmarkStart w:id="24" w:name="multi-runner"/>
    <w:p>
      <w:pPr>
        <w:pStyle w:val="Heading2"/>
      </w:pPr>
      <w:r>
        <w:t xml:space="preserve">10. MULTI-RUNNER</w:t>
      </w:r>
    </w:p>
    <w:p>
      <w:pPr>
        <w:pStyle w:val="FirstParagraph"/>
      </w:pPr>
      <w:r>
        <w:t xml:space="preserve">Diseña todas las entidades de forma compatible con múltiples corredores.</w:t>
      </w:r>
    </w:p>
    <w:p>
      <w:pPr>
        <w:pStyle w:val="BodyText"/>
      </w:pPr>
      <w:r>
        <w:rPr>
          <w:rStyle w:val="VerbatimChar"/>
        </w:rPr>
        <w:t xml:space="preserve">runner_id</w:t>
      </w:r>
      <w:r>
        <w:t xml:space="preserve"> </w:t>
      </w:r>
      <w:r>
        <w:t xml:space="preserve">seguirá siendo un identificador neutro.</w:t>
      </w:r>
    </w:p>
    <w:p>
      <w:pPr>
        <w:pStyle w:val="BodyText"/>
      </w:pPr>
      <w:r>
        <w:t xml:space="preserve">Mantén separados:</w:t>
      </w:r>
    </w:p>
    <w:p>
      <w:pPr>
        <w:pStyle w:val="Compact"/>
        <w:numPr>
          <w:ilvl w:val="0"/>
          <w:numId w:val="1022"/>
        </w:numPr>
      </w:pPr>
      <w:r>
        <w:t xml:space="preserve">identidad;</w:t>
      </w:r>
    </w:p>
    <w:p>
      <w:pPr>
        <w:pStyle w:val="Compact"/>
        <w:numPr>
          <w:ilvl w:val="0"/>
          <w:numId w:val="1022"/>
        </w:numPr>
      </w:pPr>
      <w:r>
        <w:t xml:space="preserve">historial;</w:t>
      </w:r>
    </w:p>
    <w:p>
      <w:pPr>
        <w:pStyle w:val="Compact"/>
        <w:numPr>
          <w:ilvl w:val="0"/>
          <w:numId w:val="1022"/>
        </w:numPr>
      </w:pPr>
      <w:r>
        <w:t xml:space="preserve">fisiología;</w:t>
      </w:r>
    </w:p>
    <w:p>
      <w:pPr>
        <w:pStyle w:val="Compact"/>
        <w:numPr>
          <w:ilvl w:val="0"/>
          <w:numId w:val="1022"/>
        </w:numPr>
      </w:pPr>
      <w:r>
        <w:t xml:space="preserve">demografía;</w:t>
      </w:r>
    </w:p>
    <w:p>
      <w:pPr>
        <w:pStyle w:val="Compact"/>
        <w:numPr>
          <w:ilvl w:val="0"/>
          <w:numId w:val="1022"/>
        </w:numPr>
      </w:pPr>
      <w:r>
        <w:t xml:space="preserve">contexto deportivo;</w:t>
      </w:r>
    </w:p>
    <w:p>
      <w:pPr>
        <w:pStyle w:val="Compact"/>
        <w:numPr>
          <w:ilvl w:val="0"/>
          <w:numId w:val="1022"/>
        </w:numPr>
      </w:pPr>
      <w:r>
        <w:t xml:space="preserve">ground truth;</w:t>
      </w:r>
    </w:p>
    <w:p>
      <w:pPr>
        <w:pStyle w:val="Compact"/>
        <w:numPr>
          <w:ilvl w:val="0"/>
          <w:numId w:val="1022"/>
        </w:numPr>
      </w:pPr>
      <w:r>
        <w:t xml:space="preserve">parámetros individuales;</w:t>
      </w:r>
    </w:p>
    <w:p>
      <w:pPr>
        <w:pStyle w:val="Compact"/>
        <w:numPr>
          <w:ilvl w:val="0"/>
          <w:numId w:val="1022"/>
        </w:numPr>
      </w:pPr>
      <w:r>
        <w:t xml:space="preserve">reglas universales.</w:t>
      </w:r>
    </w:p>
    <w:p>
      <w:pPr>
        <w:pStyle w:val="FirstParagraph"/>
      </w:pPr>
      <w:r>
        <w:t xml:space="preserve">No introduzcas reglas específicas del corredor actual como reglas generales.</w:t>
      </w:r>
    </w:p>
    <w:bookmarkEnd w:id="24"/>
    <w:bookmarkStart w:id="25" w:name="gobernanza-humana"/>
    <w:p>
      <w:pPr>
        <w:pStyle w:val="Heading2"/>
      </w:pPr>
      <w:r>
        <w:t xml:space="preserve">11. GOBERNANZA HUMANA</w:t>
      </w:r>
    </w:p>
    <w:p>
      <w:pPr>
        <w:pStyle w:val="FirstParagraph"/>
      </w:pPr>
      <w:r>
        <w:t xml:space="preserve">Define conceptualmente los roles autorizados para revisión, sin fijar todavía nombres concretos.</w:t>
      </w:r>
    </w:p>
    <w:p>
      <w:pPr>
        <w:pStyle w:val="BodyText"/>
      </w:pPr>
      <w:r>
        <w:t xml:space="preserve">Como mínimo contempla:</w:t>
      </w:r>
    </w:p>
    <w:p>
      <w:pPr>
        <w:pStyle w:val="Compact"/>
        <w:numPr>
          <w:ilvl w:val="0"/>
          <w:numId w:val="1023"/>
        </w:numPr>
      </w:pPr>
      <w:r>
        <w:t xml:space="preserve">propietario del dato;</w:t>
      </w:r>
    </w:p>
    <w:p>
      <w:pPr>
        <w:pStyle w:val="Compact"/>
        <w:numPr>
          <w:ilvl w:val="0"/>
          <w:numId w:val="1023"/>
        </w:numPr>
      </w:pPr>
      <w:r>
        <w:t xml:space="preserve">entrenador;</w:t>
      </w:r>
    </w:p>
    <w:p>
      <w:pPr>
        <w:pStyle w:val="Compact"/>
        <w:numPr>
          <w:ilvl w:val="0"/>
          <w:numId w:val="1023"/>
        </w:numPr>
      </w:pPr>
      <w:r>
        <w:t xml:space="preserve">revisor científico;</w:t>
      </w:r>
    </w:p>
    <w:p>
      <w:pPr>
        <w:pStyle w:val="Compact"/>
        <w:numPr>
          <w:ilvl w:val="0"/>
          <w:numId w:val="1023"/>
        </w:numPr>
      </w:pPr>
      <w:r>
        <w:t xml:space="preserve">administrador de dataset.</w:t>
      </w:r>
    </w:p>
    <w:p>
      <w:pPr>
        <w:pStyle w:val="FirstParagraph"/>
      </w:pPr>
      <w:r>
        <w:t xml:space="preserve">El Addendum deberá establecer cómo resolver discrepancias entre revisores de forma versionada y auditable, pero no es necesario aprobar todavía una política final de arbitraje.</w:t>
      </w:r>
    </w:p>
    <w:bookmarkEnd w:id="25"/>
    <w:bookmarkStart w:id="26" w:name="criterios-de-aceptación-del-addendum"/>
    <w:p>
      <w:pPr>
        <w:pStyle w:val="Heading2"/>
      </w:pPr>
      <w:r>
        <w:t xml:space="preserve">12. CRITERIOS DE ACEPTACIÓN DEL ADDENDUM</w:t>
      </w:r>
    </w:p>
    <w:p>
      <w:pPr>
        <w:pStyle w:val="FirstParagraph"/>
      </w:pPr>
      <w:r>
        <w:t xml:space="preserve">El documento final deberá dejar explícito que, antes de iniciar etiquetado manual:</w:t>
      </w:r>
    </w:p>
    <w:p>
      <w:pPr>
        <w:pStyle w:val="Compact"/>
        <w:numPr>
          <w:ilvl w:val="0"/>
          <w:numId w:val="1024"/>
        </w:numPr>
      </w:pPr>
      <w:r>
        <w:t xml:space="preserve">las cuatro entidades contractuales están completamente definidas;</w:t>
      </w:r>
    </w:p>
    <w:p>
      <w:pPr>
        <w:pStyle w:val="Compact"/>
        <w:numPr>
          <w:ilvl w:val="0"/>
          <w:numId w:val="1024"/>
        </w:numPr>
      </w:pPr>
      <w:r>
        <w:t xml:space="preserve">las relaciones entre ellas son inequívocas;</w:t>
      </w:r>
    </w:p>
    <w:p>
      <w:pPr>
        <w:pStyle w:val="Compact"/>
        <w:numPr>
          <w:ilvl w:val="0"/>
          <w:numId w:val="1024"/>
        </w:numPr>
      </w:pPr>
      <w:r>
        <w:t xml:space="preserve">el esquema permite múltiples sesiones por unidad;</w:t>
      </w:r>
    </w:p>
    <w:p>
      <w:pPr>
        <w:pStyle w:val="Compact"/>
        <w:numPr>
          <w:ilvl w:val="0"/>
          <w:numId w:val="1024"/>
        </w:numPr>
      </w:pPr>
      <w:r>
        <w:t xml:space="preserve">la incertidumbre puede representarse por dimensión;</w:t>
      </w:r>
    </w:p>
    <w:p>
      <w:pPr>
        <w:pStyle w:val="Compact"/>
        <w:numPr>
          <w:ilvl w:val="0"/>
          <w:numId w:val="1024"/>
        </w:numPr>
      </w:pPr>
      <w:r>
        <w:t xml:space="preserve">las correcciones son append-only;</w:t>
      </w:r>
    </w:p>
    <w:p>
      <w:pPr>
        <w:pStyle w:val="Compact"/>
        <w:numPr>
          <w:ilvl w:val="0"/>
          <w:numId w:val="1024"/>
        </w:numPr>
      </w:pPr>
      <w:r>
        <w:t xml:space="preserve">el muestreo es auditable;</w:t>
      </w:r>
    </w:p>
    <w:p>
      <w:pPr>
        <w:pStyle w:val="Compact"/>
        <w:numPr>
          <w:ilvl w:val="0"/>
          <w:numId w:val="1024"/>
        </w:numPr>
      </w:pPr>
      <w:r>
        <w:t xml:space="preserve">las particiones temporales están representadas;</w:t>
      </w:r>
    </w:p>
    <w:p>
      <w:pPr>
        <w:pStyle w:val="Compact"/>
        <w:numPr>
          <w:ilvl w:val="0"/>
          <w:numId w:val="1024"/>
        </w:numPr>
      </w:pPr>
      <w:r>
        <w:t xml:space="preserve">las decisiones pueden reproducirse históricamente;</w:t>
      </w:r>
    </w:p>
    <w:p>
      <w:pPr>
        <w:pStyle w:val="Compact"/>
        <w:numPr>
          <w:ilvl w:val="0"/>
          <w:numId w:val="1024"/>
        </w:numPr>
      </w:pPr>
      <w:r>
        <w:t xml:space="preserve">no se pierde identidad de ninguna sesión;</w:t>
      </w:r>
    </w:p>
    <w:p>
      <w:pPr>
        <w:pStyle w:val="Compact"/>
        <w:numPr>
          <w:ilvl w:val="0"/>
          <w:numId w:val="1024"/>
        </w:numPr>
      </w:pPr>
      <w:r>
        <w:t xml:space="preserve">no se introducen etiquetas deportivas nuevas sin evidencia.</w:t>
      </w:r>
    </w:p>
    <w:bookmarkEnd w:id="26"/>
    <w:bookmarkStart w:id="27" w:name="entrega"/>
    <w:p>
      <w:pPr>
        <w:pStyle w:val="Heading2"/>
      </w:pPr>
      <w:r>
        <w:t xml:space="preserve">13. ENTREGA</w:t>
      </w:r>
    </w:p>
    <w:p>
      <w:pPr>
        <w:pStyle w:val="FirstParagraph"/>
      </w:pPr>
      <w:r>
        <w:t xml:space="preserve">Genera únicamente un documento:</w:t>
      </w:r>
    </w:p>
    <w:p>
      <w:pPr>
        <w:pStyle w:val="BodyText"/>
      </w:pPr>
      <w:r>
        <w:rPr>
          <w:rStyle w:val="VerbatimChar"/>
        </w:rPr>
        <w:t xml:space="preserve">D4_GROUND_TRUTH_ADDENDUM.md</w:t>
      </w:r>
    </w:p>
    <w:p>
      <w:pPr>
        <w:pStyle w:val="BodyText"/>
      </w:pPr>
      <w:r>
        <w:t xml:space="preserve">o nombre equivalente claramente versionado.</w:t>
      </w:r>
    </w:p>
    <w:p>
      <w:pPr>
        <w:pStyle w:val="BodyText"/>
      </w:pPr>
      <w:r>
        <w:t xml:space="preserve">El documento deberá incluir:</w:t>
      </w:r>
    </w:p>
    <w:p>
      <w:pPr>
        <w:pStyle w:val="Compact"/>
        <w:numPr>
          <w:ilvl w:val="0"/>
          <w:numId w:val="1025"/>
        </w:numPr>
      </w:pPr>
      <w:r>
        <w:t xml:space="preserve">propósito;</w:t>
      </w:r>
    </w:p>
    <w:p>
      <w:pPr>
        <w:pStyle w:val="Compact"/>
        <w:numPr>
          <w:ilvl w:val="0"/>
          <w:numId w:val="1025"/>
        </w:numPr>
      </w:pPr>
      <w:r>
        <w:t xml:space="preserve">alcance;</w:t>
      </w:r>
    </w:p>
    <w:p>
      <w:pPr>
        <w:pStyle w:val="Compact"/>
        <w:numPr>
          <w:ilvl w:val="0"/>
          <w:numId w:val="1025"/>
        </w:numPr>
      </w:pPr>
      <w:r>
        <w:t xml:space="preserve">entidades;</w:t>
      </w:r>
    </w:p>
    <w:p>
      <w:pPr>
        <w:pStyle w:val="Compact"/>
        <w:numPr>
          <w:ilvl w:val="0"/>
          <w:numId w:val="1025"/>
        </w:numPr>
      </w:pPr>
      <w:r>
        <w:t xml:space="preserve">contratos de campos;</w:t>
      </w:r>
    </w:p>
    <w:p>
      <w:pPr>
        <w:pStyle w:val="Compact"/>
        <w:numPr>
          <w:ilvl w:val="0"/>
          <w:numId w:val="1025"/>
        </w:numPr>
      </w:pPr>
      <w:r>
        <w:t xml:space="preserve">claves y relaciones;</w:t>
      </w:r>
    </w:p>
    <w:p>
      <w:pPr>
        <w:pStyle w:val="Compact"/>
        <w:numPr>
          <w:ilvl w:val="0"/>
          <w:numId w:val="1025"/>
        </w:numPr>
      </w:pPr>
      <w:r>
        <w:t xml:space="preserve">estados permitidos;</w:t>
      </w:r>
    </w:p>
    <w:p>
      <w:pPr>
        <w:pStyle w:val="Compact"/>
        <w:numPr>
          <w:ilvl w:val="0"/>
          <w:numId w:val="1025"/>
        </w:numPr>
      </w:pPr>
      <w:r>
        <w:t xml:space="preserve">reglas append-only;</w:t>
      </w:r>
    </w:p>
    <w:p>
      <w:pPr>
        <w:pStyle w:val="Compact"/>
        <w:numPr>
          <w:ilvl w:val="0"/>
          <w:numId w:val="1025"/>
        </w:numPr>
      </w:pPr>
      <w:r>
        <w:t xml:space="preserve">evidencia;</w:t>
      </w:r>
    </w:p>
    <w:p>
      <w:pPr>
        <w:pStyle w:val="Compact"/>
        <w:numPr>
          <w:ilvl w:val="0"/>
          <w:numId w:val="1025"/>
        </w:numPr>
      </w:pPr>
      <w:r>
        <w:t xml:space="preserve">incertidumbre;</w:t>
      </w:r>
    </w:p>
    <w:p>
      <w:pPr>
        <w:pStyle w:val="Compact"/>
        <w:numPr>
          <w:ilvl w:val="0"/>
          <w:numId w:val="1025"/>
        </w:numPr>
      </w:pPr>
      <w:r>
        <w:t xml:space="preserve">agrupaciones;</w:t>
      </w:r>
    </w:p>
    <w:p>
      <w:pPr>
        <w:pStyle w:val="Compact"/>
        <w:numPr>
          <w:ilvl w:val="0"/>
          <w:numId w:val="1025"/>
        </w:numPr>
      </w:pPr>
      <w:r>
        <w:t xml:space="preserve">muestreo;</w:t>
      </w:r>
    </w:p>
    <w:p>
      <w:pPr>
        <w:pStyle w:val="Compact"/>
        <w:numPr>
          <w:ilvl w:val="0"/>
          <w:numId w:val="1025"/>
        </w:numPr>
      </w:pPr>
      <w:r>
        <w:t xml:space="preserve">particiones temporales;</w:t>
      </w:r>
    </w:p>
    <w:p>
      <w:pPr>
        <w:pStyle w:val="Compact"/>
        <w:numPr>
          <w:ilvl w:val="0"/>
          <w:numId w:val="1025"/>
        </w:numPr>
      </w:pPr>
      <w:r>
        <w:t xml:space="preserve">active learning;</w:t>
      </w:r>
    </w:p>
    <w:p>
      <w:pPr>
        <w:pStyle w:val="Compact"/>
        <w:numPr>
          <w:ilvl w:val="0"/>
          <w:numId w:val="1025"/>
        </w:numPr>
      </w:pPr>
      <w:r>
        <w:t xml:space="preserve">gobernanza;</w:t>
      </w:r>
    </w:p>
    <w:p>
      <w:pPr>
        <w:pStyle w:val="Compact"/>
        <w:numPr>
          <w:ilvl w:val="0"/>
          <w:numId w:val="1025"/>
        </w:numPr>
      </w:pPr>
      <w:r>
        <w:t xml:space="preserve">reproducibilidad;</w:t>
      </w:r>
    </w:p>
    <w:p>
      <w:pPr>
        <w:pStyle w:val="Compact"/>
        <w:numPr>
          <w:ilvl w:val="0"/>
          <w:numId w:val="1025"/>
        </w:numPr>
      </w:pPr>
      <w:r>
        <w:t xml:space="preserve">criterios de aceptación;</w:t>
      </w:r>
    </w:p>
    <w:p>
      <w:pPr>
        <w:pStyle w:val="Compact"/>
        <w:numPr>
          <w:ilvl w:val="0"/>
          <w:numId w:val="1025"/>
        </w:numPr>
      </w:pPr>
      <w:r>
        <w:t xml:space="preserve">decisiones que sigan requiriendo aprobación humana.</w:t>
      </w:r>
    </w:p>
    <w:bookmarkEnd w:id="27"/>
    <w:bookmarkStart w:id="28" w:name="regla-final"/>
    <w:p>
      <w:pPr>
        <w:pStyle w:val="Heading2"/>
      </w:pPr>
      <w:r>
        <w:t xml:space="preserve">REGLA FINAL</w:t>
      </w:r>
    </w:p>
    <w:p>
      <w:pPr>
        <w:pStyle w:val="FirstParagraph"/>
      </w:pPr>
      <w:r>
        <w:t xml:space="preserve">No implementes nada todavía.</w:t>
      </w:r>
    </w:p>
    <w:p>
      <w:pPr>
        <w:pStyle w:val="BodyText"/>
      </w:pPr>
      <w:r>
        <w:t xml:space="preserve">No crees tablas reales.</w:t>
      </w:r>
    </w:p>
    <w:p>
      <w:pPr>
        <w:pStyle w:val="BodyText"/>
      </w:pPr>
      <w:r>
        <w:t xml:space="preserve">No cargues etiquetas.</w:t>
      </w:r>
    </w:p>
    <w:p>
      <w:pPr>
        <w:pStyle w:val="BodyText"/>
      </w:pPr>
      <w:r>
        <w:t xml:space="preserve">No modifiques D4 vigente.</w:t>
      </w:r>
    </w:p>
    <w:p>
      <w:pPr>
        <w:pStyle w:val="BodyText"/>
      </w:pPr>
      <w:r>
        <w:t xml:space="preserve">No modifiques ningún archivo del repositorio.</w:t>
      </w:r>
    </w:p>
    <w:p>
      <w:pPr>
        <w:pStyle w:val="BodyText"/>
      </w:pPr>
      <w:r>
        <w:t xml:space="preserve">No hagas commit ni push.</w:t>
      </w:r>
    </w:p>
    <w:p>
      <w:pPr>
        <w:pStyle w:val="BodyText"/>
      </w:pPr>
      <w:r>
        <w:t xml:space="preserve">Si al redactar el Addendum detectas una contradicción material con D4 v1.0 o con las fases D1–D3, detente únicamente en ese punto y preséntala explícitamente para resolución antes de introducir una nueva regla.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