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รายงานเสนออนุมัติโครงงานวิศวกรรม</w:t>
      </w:r>
    </w:p>
    <w:p>
      <w:pPr>
        <w:spacing w:before="0" w:after="120" w:line="276" w:lineRule="auto"/>
        <w:jc w:val="center"/>
      </w:pP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ระบบสกัดและประมาณราคาข้อมูลโครงสร้างเหล็ก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จากแบบแปลนดิจิทัลด้วยปัญญาประดิษฐ์เชิงทัศน์มัลติโมดอล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(Multimodal Vision LLM-Driven Steel Member Extraction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and Automated Bill of Quantities Generation</w:t>
      </w:r>
    </w:p>
    <w:p>
      <w:pPr>
        <w:spacing w:before="0" w:after="7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from Structural CAD Drawings)</w:t>
      </w:r>
    </w:p>
    <w:p>
      <w:pPr>
        <w:spacing w:before="0" w:after="1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เสนอต่อ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หัวหน้าภาควิชาวิศวกรรมคอมพิวเตอร์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คณะวิศวกรรมศาสตร์</w:t>
      </w:r>
    </w:p>
    <w:p>
      <w:pPr>
        <w:spacing w:before="0" w:after="7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มหาวิทยาลัยเกษตรศาสตร์</w:t>
      </w:r>
    </w:p>
    <w:p>
      <w:pPr>
        <w:spacing w:before="0" w:after="1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เสนอโดย</w:t>
      </w:r>
    </w:p>
    <w:p>
      <w:pPr>
        <w:spacing w:before="0" w:after="7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นายจิรายุ  ประสพสุขโชคมณี       รหัสนักศึกษา  6610501475</w:t>
      </w:r>
    </w:p>
    <w:p>
      <w:pPr>
        <w:spacing w:before="0" w:after="1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อาจารย์ที่ปรึกษา</w:t>
      </w:r>
    </w:p>
    <w:p>
      <w:pPr>
        <w:spacing w:before="0" w:after="72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รศ.ดร.กิจพัฒน์  ภู่วรวรรณ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ภาควิชาวิศวกรรมคอมพิวเตอร์  คณะวิศวกรรมศาสตร์</w:t>
      </w:r>
    </w:p>
    <w:p>
      <w:pPr>
        <w:spacing w:before="0" w:after="4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มหาวิทยาลัยเกษตรศาสตร์</w:t>
      </w:r>
    </w:p>
    <w:p>
      <w:pPr>
        <w:spacing w:before="0" w:after="8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วันที่เริ่มโครงงาน  1  กรกฎาคม  2568</w:t>
      </w:r>
    </w:p>
    <w:p>
      <w:pPr>
        <w:spacing w:before="0" w:after="0" w:line="276" w:lineRule="auto"/>
        <w:jc w:val="center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40"/>
        </w:rPr>
        <w:t>ระยะเวลา  1  ปี</w:t>
      </w:r>
    </w:p>
    <w:p>
      <w:r>
        <w:br w:type="page"/>
      </w:r>
    </w:p>
    <w:p>
      <w:pPr>
        <w:spacing w:after="240"/>
        <w:jc w:val="center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40"/>
        </w:rPr>
        <w:t>ข้อเสนอโครงงาน (Project Proposal)</w:t>
      </w: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1. ความเป็นมาของโครงงาน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ในอุตสาหกรรมสถาปัตยกรรม วิศวกรรม และการก่อสร้าง (Architecture, Engineering, and Construction: AEC) ขั้นตอนการถอดแบบและประมาณราคาปริมาณงาน (Quantity Takeoff) เพื่อจัดทำบัญชีแสดงปริมาณวัสดุและราคา (Bill of Quantities: BOQ) ของโครงสร้างเหล็กรูปพรรณ (Structural Steel) ถือเป็นภารกิจสำคัญที่ส่งผลโดยตรงต่อความแม่นยำของงบประมาณการจัดซื้อจัดจ้างและความปลอดภัยของโครงสร้างอาคาร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อย่างไรก็ตาม ในทางปฏิบัติปัจจุบัน วิศวกรและผู้ประมาณราคายังคงต้องอ่านแบบแปลนวิศวกรรมโครงสร้างจากไฟล์ดิจิทัล (CAD/PDF) ทีละแผ่นด้วยตนเอง โดยต้องตรวจนับและคัดลอกข้อมูลเบอร์ชิ้นส่วน (Member ID) ขนาดหน้าตัดเหล็ก (Section) ความยาว (Length) และจำนวน (Quantity) จากตารางรายการชิ้นส่วน (Member Schedules) และแปลนโครงสร้าง (Framing Plans) เข้าสู่ตารางคำนวณสเปรดชีต กระบวนการนี้ก่อให้เกิดปัญหาสำคัญ 3 ประการ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1) ปัญหาด้านระยะเวลาและทรัพยากรบุคคล (Time-Consuming):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แบบแปลนอาคารขนาดกลางถึงใหญ่มีตารางรายการชิ้นส่วนหลายสิบหน้า ส่งผลให้ต้องใช้เวลาในการตรวจนับนานหลายวันถึงหลายสัปดาห์ เกิดคอขวดในกระบวนการเสนอราคาประมูล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2) ปัญหาความผิดพลาดจากมนุษย์ (Human Error):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การคีย์ข้อมูลสเปกหน้าตัดที่มีความซับซ้อน (เช่น H-300x150x6.5x9) หรือการนับซ้ำซ้อน ส่งผลต่องบประมาณจัดซื้อเหล็กที่คลาดเคลื่อนอย่างมีนัยสำคัญ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3) ข้อจำกัดของ OCR แบบดั้งเดิม (Traditional OCR Limitations):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ระบบ OCR ทั่วไป (เช่น Tesseract) ไม่สามารถเข้าใจบริบทเชิงมิติ ความสัมพันธ์ระหว่างตารางกับแปลน หรือสัญลักษณ์เส้นบอกขนาด ทำให้ไม่สามารถนำมาใช้สกัดข้อมูลแบบแปลน CAD โครงสร้างได้จริง</w:t>
      </w:r>
    </w:p>
    <w:p>
      <w:pPr>
        <w:spacing w:before="0" w:after="12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ด้วยเหตุนี้ โครงงานจึงนำเสนอการประยุกต์ใช้แบบจำลองภาษาขนาดใหญ่เชิงทัศน์มัลติโมดอล (Multimodal Vision LLM) อย่าง Google Gemini Vision ซึ่งสามารถทำความเข้าใจทั้งภาพ ตัวอักษร และโครงสร้างตารางในแบบแปลนทางเทคนิคพร้อมกัน เข้ามาสกัดข้อมูลชิ้นส่วนโครงสร้างเหล็กโดยอัตโนมัติ ควบคู่กับระบบคำนวณน้ำหนักเหล็กตามมาตรฐาน JIS/AISC และเว็บแอปพลิเคชันเชิงปฏิสัมพันธ์สำหรับตรวจสอบและส่งออกข้อมูล BOQ</w:t>
      </w: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2. วัตถุประสงค์ของโครงงาน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การพัฒนาโครงงานนี้มีวัตถุประสงค์เพื่อนำไปใช้ประโยชน์ในงานวิศวกรรมโครงสร้างและการประมาณราคา ดังนี้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2.1 เพื่อพัฒนาระบบสกัดข้อมูลชิ้นส่วนโครงสร้างเหล็ก (Member ID, Section, Length, Quantity) จากไฟล์แบบแปลนดิจิทัล (CAD-exported PDF) โดยอัตโนมัติด้วยแบบจำลองภาษาเชิงทัศน์มัลติโมดอล เพื่อลดระยะเวลาและขั้นตอนการทำงานของผู้ประมาณราคา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2.2 เพื่อพัฒนาระบบคำนวณน้ำหนักต่อเมตร (Unit Weight: kg/m) และน้ำหนักรวมของโครงสร้างเหล็กรูปพรรณตามมาตรฐาน JIS และ AISC ช่วยให้การจัดทำ BOQ มีความถูกต้องแม่นยำตามมาตรฐานวิศวกรรม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2.3 เพื่อพัฒนาเว็บแอปพลิเคชันเชิงปฏิสัมพันธ์ (Interactive Web Application) ที่มีระบบพรีวิวแบบแปลน ตารางตรวจสอบและแก้ไขข้อมูลแบบเรียลไทม์ (Inline Table Editing) และระบบส่งออกข้อมูลเป็นไฟล์ Excel (.xlsx) เพื่อให้ฝ่ายจัดซื้อนำไปใช้งานต่อได้ทันที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2.4 เพื่อประเมินความถูกต้องแม่นยำ (Precision, Recall, F1-Score, Dimension Accuracy) และประสิทธิภาพด้านเวลาประมวลผล (Processing Latency) เปรียบเทียบกับการถอดแบบด้วยวิศวกรผู้เชี่ยวชาญ (Manual Takeoff)</w:t>
      </w: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3. ขอบเขตของโครงงาน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การดำเนินงานแบ่งออกเป็น 2 ภาคการศึกษา ดังนี้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3.1 ขอบเขตของโครงงาน 1 (การวิจัย ศึกษา และพัฒนาระบบสกัดข้อมูลต้นแบบ)</w:t>
      </w:r>
    </w:p>
    <w:p>
      <w:pPr>
        <w:spacing w:before="0" w:after="40" w:line="276" w:lineRule="auto"/>
        <w:ind w:left="108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3.1.1 ขอบเขตด้านข้อมูลนำเข้าและการเตรียมข้อมูล (Input &amp; Preprocessing)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รองรับไฟล์แบบแปลนโครงสร้างเหล็กรูปแบบ PDF ที่ส่งออกจากโปรแกรม CAD (Vector-based PDF)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ทำการแปลงหน้าแบบแปลนที่เลือกเป็นภาพความละเอียดสูง (200–300 DPI) ด้วยไลบรารี PyMuPDF</w:t>
      </w:r>
    </w:p>
    <w:p>
      <w:pPr>
        <w:spacing w:before="0" w:after="40" w:line="276" w:lineRule="auto"/>
        <w:ind w:left="108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3.1.2 ขอบเขตด้านการสกัดข้อมูลชิ้นส่วนโครงสร้าง (AI Vision Extraction)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ครอบคลุมการอ่านแบบแปลน 2 ประเภท ได้แก่ ตารางรายการชิ้นส่วน (Member Schedules) และแปลนโครงสร้าง (Framing Plans)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สกัดชิ้นส่วนโครงสร้างเหล็กหลัก ได้แก่ เสา (Columns) คาน (Beams) คานคอดิน (Grade Beams) แป (Purlins) และค้ำยัน (Bracing)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3) สกัดคุณลักษณะ 5 ตัวแปร ได้แก่ member_id, section, length_mm, quantity, notes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4) ใช้เทคนิค Defensive JSON Prompting ร่วมกับ Zero-temperature เพื่อให้ผลลัพธ์เป็น JSON Array ที่แน่นอน</w:t>
      </w:r>
    </w:p>
    <w:p>
      <w:pPr>
        <w:spacing w:before="0" w:after="40" w:line="276" w:lineRule="auto"/>
        <w:ind w:left="108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3.1.3 ขอบเขตด้านการคำนวณและประเมินผลต้นแบบ (MVP Engine &amp; Benchmarking)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คำนวณน้ำหนักต่อเมตรอ้างอิงสูตรพื้นที่หน้าตัดเรขาคณิต (ความหนาแน่นเหล็ก 7,850 kg/m³) และตารางมาตรฐาน JIS / AISC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พัฒนาชุดข้อมูลทดสอบสังเคราะห์ (Synthetic Dataset) 3 หน้า พร้อมไฟล์เฉลย Ground Truth และสคริปต์วัด Precision / Recall / F1-Score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3.2 ขอบเขตของโครงงาน 2 (การพัฒนาเว็บแอปพลิเคชัน การทดสอบกับแบบแปลนจริง และการปรับปรุงประสิทธิภาพ)</w:t>
      </w:r>
    </w:p>
    <w:p>
      <w:pPr>
        <w:spacing w:before="0" w:after="40" w:line="276" w:lineRule="auto"/>
        <w:ind w:left="108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3.2.1 ขอบเขตด้านระบบส่วนติดต่อผู้ใช้งาน (Web Application Interface)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พัฒนาเว็บแอปพลิเคชันด้วย Next.js และ Tailwind CSS รองรับการอัปโหลดไฟล์ PDF และเลือกหน้าที่ต้องการประมวลผล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พัฒนาระบบ Interactive Table รองรับการแก้ไขข้อมูลแบบ Inline Editing พร้อมระบบสรุปผลรวมน้ำหนักอัตโนมัติ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3) ระบบส่งออกข้อมูล BOQ เป็นไฟล์ Excel (.xlsx) แยก Sheet BOQ และ Summary และไฟล์ CSV</w:t>
      </w:r>
    </w:p>
    <w:p>
      <w:pPr>
        <w:spacing w:before="0" w:after="40" w:line="276" w:lineRule="auto"/>
        <w:ind w:left="108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3.2.2 ขอบเขตด้านการประเมินผลและทดสอบประสิทธิภาพเชิงลึก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ทดสอบระบบกับแบบแปลนก่อสร้างจริงจากโครงการภายนอก 5–10 โครงการ เพื่อวัดความแม่นยำในสภาวะใช้งานจริง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บันทึกและวิเคราะห์ค่าความหน่วงในการประมวลผล (Latency) และข้อผิดพลาดที่เกิดขึ้นใน Research Logs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3) ประเมินระยะเวลาที่ประหยัดได้เปรียบเทียบกับการถอดแบบด้วยวิศวกรผู้เชี่ยวชาญ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3.3 ข้อจำกัดและสิ่งที่อยู่นอกเหนือขอบเขต (Delimitations &amp; Out-of-Scope)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1) ไม่ครอบคลุมแบบแปลนประเภทภาพสแกนจากกระดาษเก่า ภาพถ่ายลายมือ หรือความคมชัดต่ำมาก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2) ไม่ครอบคลุมการนับสลักเกลียว (Bolts) แผ่นเหล็กประกับรอยต่อ (Gusset Plates) และแนวเชื่อม (Welds)</w:t>
      </w:r>
    </w:p>
    <w:p>
      <w:pPr>
        <w:spacing w:before="0" w:after="40" w:line="276" w:lineRule="auto"/>
        <w:ind w:left="144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3) การคำนวณน้ำหนักเหล็กใช้สำหรับการประมาณราคา BOQ มิใช่ค่าสำหรับการสั่งตัดในโรงงาน (Fabrication Detailing)</w:t>
      </w:r>
    </w:p>
    <w:p>
      <w:pPr>
        <w:spacing w:before="0" w:after="80" w:line="276" w:lineRule="auto"/>
        <w:jc w:val="left"/>
      </w:pP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4. แผนการดำเนินงาน</w:t>
      </w:r>
    </w:p>
    <w:p>
      <w:pPr>
        <w:spacing w:before="0" w:after="12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แผนการดำเนินงานของโครงงานมีระยะเวลาทั้งสิ้น 1 ปี แบ่งเป็น 2 ภาคการศึกษา ได้แก่ โครงงาน 1 (ภาคต้น: มิถุนายน – กันยายน 2568) และโครงงาน 2 (ภาคปลาย: พฤศจิกายน 2568 – กุมภาพันธ์ 2569)</w:t>
      </w:r>
    </w:p>
    <w:p>
      <w:pPr>
        <w:spacing w:before="120" w:after="40"/>
        <w:ind w:left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28"/>
        </w:rPr>
        <w:t>ตารางที่ 1  ตารางการดำเนินงานโครงงาน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bottom w:val="single" w:sz="4" w:space="0" w:color="6B7280"/>
          <w:left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3744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</w:tblGrid>
      <w:tr>
        <w:tc>
          <w:tcPr>
            <w:tcW w:type="dxa" w:w="3744"/>
            <w:vMerge w:val="restart"/>
            <w:shd w:fill="1E3A8A" w:val="clear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กิจกรรม / แผนงาน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มิถุนายน 2568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กรกฎาคม 2568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สิงหาคม 2568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กันยายน 2568</w:t>
            </w: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1. เสนอหัวข้อโครงงานและศึกษาทฤษฎีที่เกี่ยวข้อง</w:t>
            </w: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EFF6FF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2. รวบรวม Dataset แบบแปลน CAD และออกแบบสถาปัตยกรรมระบบ</w:t>
            </w: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3. พัฒนาระบบต้นแบบ AI Backend และปรับแต่ง Prompting</w:t>
            </w: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EFF6FF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4. พัฒนาระบบคำนวณน้ำหนักหน้าตัดเหล็ก JIS/AISC</w:t>
            </w: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5. ทดสอบ Benchmark กับ Ground Truth และจัดทำรายงาน</w:t>
            </w: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before="120" w:after="40"/>
        <w:ind w:left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28"/>
        </w:rPr>
        <w:t>ตารางที่ 2  ตารางการดำเนินงานโครงงาน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bottom w:val="single" w:sz="4" w:space="0" w:color="6B7280"/>
          <w:left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3744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  <w:gridCol w:w="338"/>
      </w:tblGrid>
      <w:tr>
        <w:tc>
          <w:tcPr>
            <w:tcW w:type="dxa" w:w="3744"/>
            <w:vMerge w:val="restart"/>
            <w:shd w:fill="1E3A8A" w:val="clear"/>
            <w:tcMar>
              <w:top w:w="60" w:type="dxa"/>
              <w:bottom w:w="6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กิจกรรม / แผนงาน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พฤศจิกายน 2568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ธันวาคม 2568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มกราคม 2569</w:t>
            </w:r>
          </w:p>
        </w:tc>
        <w:tc>
          <w:tcPr>
            <w:tcW w:type="dxa" w:w="2124"/>
            <w:gridSpan w:val="4"/>
            <w:shd w:fill="2D5FA0" w:val="clear"/>
            <w:tcMar>
              <w:top w:w="60" w:type="dxa"/>
              <w:bottom w:w="60" w:type="dxa"/>
              <w:left w:w="20" w:type="dxa"/>
              <w:right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กุมภาพันธ์ 2569</w:t>
            </w: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1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2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3</w:t>
            </w:r>
          </w:p>
        </w:tc>
        <w:tc>
          <w:tcPr>
            <w:tcW w:type="dxa" w:w="338"/>
            <w:shd w:fill="DBEAFE" w:val="clear"/>
            <w:tcMar>
              <w:top w:w="40" w:type="dxa"/>
              <w:bottom w:w="40" w:type="dxa"/>
              <w:left w:w="4" w:type="dxa"/>
              <w:right w:w="4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2"/>
              </w:rPr>
              <w:t>4</w:t>
            </w: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1. ออกแบบสถาปัตยกรรม Web Application และ UI/UX</w:t>
            </w: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EFF6FF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2. พัฒนาระบบ Inline Editable BOQ Table บน Next.js</w:t>
            </w: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3. เชื่อมโยง Live Gemini API และระบบ Export Excel/CSV</w:t>
            </w: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EFF6FF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4. ทดสอบความถูกต้องกับแบบแปลนจริง 5–10 โครงการ</w:t>
            </w: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FF6FF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DBEAFE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744"/>
            <w:vMerge w:val="restart"/>
            <w:shd w:fill="F8FAFC" w:val="clear"/>
            <w:tcMar>
              <w:top w:w="50" w:type="dxa"/>
              <w:bottom w:w="50" w:type="dxa"/>
              <w:left w:w="80" w:type="dxa"/>
              <w:right w:w="4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5. สรุปผลการวิจัยและจัดทำรูปเล่มปริญญานิพนธ์</w:t>
            </w: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F8FAFC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4" w:type="dxa"/>
              <w:bottom w:w="0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531"/>
            <w:vMerge/>
          </w:tcPr>
          <w:p/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E2E8F0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  <w:tc>
          <w:tcPr>
            <w:tcW w:type="dxa" w:w="338"/>
            <w:shd w:fill="1E3A8A" w:val="clear"/>
            <w:tcMar>
              <w:top w:w="0" w:type="dxa"/>
              <w:bottom w:w="4" w:type="dxa"/>
              <w:left w:w="2" w:type="dxa"/>
              <w:right w:w="2" w:type="dxa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5. เอกสารอ้างอิง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[1]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Google DeepMind, "Gemini: A Family of Highly Capable Multimodal Models," Technical Report, arXiv:2312.11805, 2023.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[2]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American Institute of Steel Construction (AISC), "Steel Construction Manual," 15th Edition, Chicago, IL, 2017.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[3]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Japanese Industrial Standards Committee (JISC), "JIS G 3101: Rolled steels for general structure," Japanese Standards Association, 2020.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[4]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C. Eastman, P. Teicholz, R. Sacks, and K. Liston, "BIM Handbook: A Guide to Building Information Modeling," 3rd Edition, John Wiley &amp; Sons, 2018.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[5]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PyMuPDF Development Team, "PyMuPDF: High-performance Python bindings for MuPDF," [Online]. Available: https://github.com/pymupdf/PyMuPDF, 2024.</w:t>
      </w:r>
    </w:p>
    <w:p>
      <w:pPr>
        <w:spacing w:before="0" w:after="60" w:line="276" w:lineRule="auto"/>
        <w:ind w:left="720" w:hanging="720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[6]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Next.js Team, "Next.js App Router Documentation and Server Actions," Vercel Inc., [Online]. Available: https://nextjs.org/docs, 2026.</w:t>
      </w: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6. สถาบันหรือหน่วยงานที่จะให้การสนับสนุน และข้อกำหนดของผู้ให้การสนับสนุน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6.1 หน่วยงานที่ให้การสนับสนุนและสถานที่ดำเนินงาน: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ภาควิชาวิศวกรรมคอมพิวเตอร์ คณะวิศวกรรมศาสตร์ มหาวิทยาลัยเกษตรศาสตร์ ให้การสนับสนุนด้านสถานที่ ห้องปฏิบัติการคอมพิวเตอร์ และเครือข่ายอินเทอร์เน็ตสำหรับการพัฒนาและทดสอบ</w:t>
      </w:r>
    </w:p>
    <w:p>
      <w:pPr>
        <w:spacing w:before="0" w:after="6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6.2 หน่วยงานที่ให้ข้อมูลแบบแปลนทดสอบ: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ขอความอนุเคราะห์ตัวอย่างแบบแปลนโครงสร้างเหล็กจริงจากบริษัทผู้ออกแบบและรับเหมาก่อสร้าง เพื่อใช้เป็นชุดข้อมูลทดสอบประสิทธิภาพในสภาวะการทำงานจริง</w:t>
      </w:r>
    </w:p>
    <w:p>
      <w:pPr>
        <w:spacing w:before="0" w:after="12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 xml:space="preserve">6.3 เครื่องมือ ทรัพยากรคลาวด์ และข้อกำหนดของผู้ให้บริการ:  </w:t>
      </w:r>
      <w:r>
        <w:rPr>
          <w:rFonts w:ascii="TH SarabunPSK" w:hAnsi="TH SarabunPSK"/>
          <w:rFonts w:ascii="TH SarabunPSK" w:hAnsi="TH SarabunPSK" w:cs="TH SarabunPSK"/>
          <w:b w:val="0"/>
          <w:i w:val="0"/>
          <w:color w:val="000000"/>
          <w:sz w:val="32"/>
        </w:rPr>
        <w:t>การใช้งาน Google Gemini Multimodal Vision API ภายใต้ข้อกำหนดการให้บริการ (Terms of Service) โดยข้อมูลแบบแปลนที่ส่งผ่าน API ใช้เพื่อการวิจัยเท่านั้น ไม่มีการจัดเก็บข้อมูลที่เป็นความลับ</w:t>
      </w:r>
    </w:p>
    <w:p>
      <w:pPr>
        <w:spacing w:before="120" w:after="80" w:line="276" w:lineRule="auto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7. ภาคผนวก</w:t>
      </w:r>
    </w:p>
    <w:p>
      <w:pPr>
        <w:spacing w:before="0" w:after="4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ภาคผนวก ก  แผนผังลำดับขั้นตอนการทำงานของระบบ (System Workflow Architecture)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bottom w:val="single" w:sz="4" w:space="0" w:color="6B7280"/>
          <w:left w:val="single" w:sz="4" w:space="0" w:color="6B7280"/>
          <w:right w:val="single" w:sz="4" w:space="0" w:color="6B7280"/>
          <w:insideH w:val="single" w:sz="4" w:space="0" w:color="6B7280"/>
          <w:insideV w:val="single" w:sz="4" w:space="0" w:color="6B7280"/>
        </w:tblBorders>
      </w:tblPr>
      <w:tblGrid>
        <w:gridCol w:w="2016"/>
        <w:gridCol w:w="7344"/>
      </w:tblGrid>
      <w:tr>
        <w:tc>
          <w:tcPr>
            <w:tcW w:type="dxa" w:w="2016"/>
            <w:shd w:fill="DBEAFE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E3A8A"/>
                <w:sz w:val="28"/>
              </w:rPr>
              <w:t>1. นำเข้าไฟล์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อัปโหลดไฟล์ CAD Drawing (Vector PDF) ผ่านหน้าเว็บ</w:t>
            </w:r>
          </w:p>
        </w:tc>
      </w:tr>
      <w:tr>
        <w:tc>
          <w:tcPr>
            <w:tcW w:type="dxa" w:w="2016"/>
            <w:shd w:fill="E0F2FE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369A1"/>
                <w:sz w:val="28"/>
              </w:rPr>
              <w:t>2. เรนเดอร์ภาพ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PyMuPDF แปลงหน้าที่เลือกเป็นภาพ PNG ความละเอียด 200–300 DPI</w:t>
            </w:r>
          </w:p>
        </w:tc>
      </w:tr>
      <w:tr>
        <w:tc>
          <w:tcPr>
            <w:tcW w:type="dxa" w:w="2016"/>
            <w:shd w:fill="EDE9FE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5B21B6"/>
                <w:sz w:val="28"/>
              </w:rPr>
              <w:t>3. วิเคราะห์ AI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Gemini Vision รับภาพ + System Prompt → ส่งคืน JSON Array ชิ้นส่วนโครงสร้าง</w:t>
            </w:r>
          </w:p>
        </w:tc>
      </w:tr>
      <w:tr>
        <w:tc>
          <w:tcPr>
            <w:tcW w:type="dxa" w:w="2016"/>
            <w:shd w:fill="FCE7F3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9D174D"/>
                <w:sz w:val="28"/>
              </w:rPr>
              <w:t>4. ตรวจสอบ JSON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Defensive Validator ตรวจโครงสร้าง แก้ชนิดข้อมูล (Type Coercion)</w:t>
            </w:r>
          </w:p>
        </w:tc>
      </w:tr>
      <w:tr>
        <w:tc>
          <w:tcPr>
            <w:tcW w:type="dxa" w:w="2016"/>
            <w:shd w:fill="D1FAE5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65F46"/>
                <w:sz w:val="28"/>
              </w:rPr>
              <w:t>5. คำนวณน้ำหนัก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Steel Weight Engine เปรียบเทียบ JIS/AISC คำนวณ Unit Weight + Total Weight</w:t>
            </w:r>
          </w:p>
        </w:tc>
      </w:tr>
      <w:tr>
        <w:tc>
          <w:tcPr>
            <w:tcW w:type="dxa" w:w="2016"/>
            <w:shd w:fill="FEF3C7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92400E"/>
                <w:sz w:val="28"/>
              </w:rPr>
              <w:t>6. ตรวจสอบ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Inline Table Editor – วิศวกรตรวจและแก้ไขข้อมูลแบบ Real-time</w:t>
            </w:r>
          </w:p>
        </w:tc>
      </w:tr>
      <w:tr>
        <w:tc>
          <w:tcPr>
            <w:tcW w:type="dxa" w:w="2016"/>
            <w:shd w:fill="F0FDF4" w:val="clear"/>
            <w:tcMar>
              <w:top w:w="80" w:type="dxa"/>
              <w:bottom w:w="80" w:type="dxa"/>
              <w:left w:w="6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166534"/>
                <w:sz w:val="28"/>
              </w:rPr>
              <w:t>7. ส่งออก</w:t>
            </w:r>
          </w:p>
        </w:tc>
        <w:tc>
          <w:tcPr>
            <w:tcW w:type="dxa" w:w="7344"/>
            <w:shd w:fill="FFFFFF" w:val="clear"/>
            <w:tcMar>
              <w:top w:w="80" w:type="dxa"/>
              <w:bottom w:w="80" w:type="dxa"/>
              <w:left w:w="80" w:type="dxa"/>
              <w:right w:w="60" w:type="dxa"/>
            </w:tcMar>
            <w:vAlign w:val="center"/>
          </w:tcPr>
          <w:p>
            <w:pPr>
              <w:spacing w:after="0" w:line="264" w:lineRule="auto"/>
              <w:jc w:val="left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Export Excel (.xlsx) แยก Sheet BOQ + Summary / CSV</w:t>
            </w:r>
          </w:p>
        </w:tc>
      </w:tr>
    </w:tbl>
    <w:p>
      <w:pPr>
        <w:spacing w:after="120"/>
      </w:pPr>
    </w:p>
    <w:p>
      <w:pPr>
        <w:spacing w:before="0" w:after="4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ภาคผนวก ข  ข้อความคำสั่งควบคุม (Defensive Extraction System Prompt)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9360"/>
      </w:tblGrid>
      <w:tr>
        <w:tc>
          <w:tcPr>
            <w:tcW w:type="dxa" w:w="9029"/>
            <w:shd w:fill="1E293B" w:val="clea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rFonts w:ascii="Courier New" w:hAnsi="Courier New"/>
                <w:rFonts w:ascii="Courier New" w:hAnsi="Courier New" w:cs="Courier New"/>
                <w:b w:val="0"/>
                <w:i w:val="0"/>
                <w:color w:val="CBD5E1"/>
                <w:sz w:val="22"/>
              </w:rPr>
              <w:t>You are reading a structural steel drawing (framing plan or member schedule).</w:t>
              <w:br/>
              <w:t>Extract every distinct steel member you can identify. For each member, return:</w:t>
              <w:br/>
              <w:t xml:space="preserve">  - member_id  : the label/tag shown on the drawing (e.g. B1, C2, GB-01)</w:t>
              <w:br/>
              <w:t xml:space="preserve">  - section    : the section designation (e.g. H-300x300x10x15, W12x26)</w:t>
              <w:br/>
              <w:t xml:space="preserve">  - length_mm  : member length in millimeters if shown or derivable from dimensions</w:t>
              <w:br/>
              <w:t xml:space="preserve">  - quantity   : number of instances of this member type</w:t>
              <w:br/>
              <w:t xml:space="preserve">  - notes      : anything ambiguous, illegible, or inferred rather than directly read</w:t>
              <w:br/>
              <w:br/>
              <w:t>Return ONLY a JSON array of objects with these exact keys.</w:t>
              <w:br/>
              <w:t>No prose, no markdown fences, no explanation.</w:t>
              <w:br/>
              <w:t>If a value cannot be determined, use null for that field and explain briefly in notes.</w:t>
            </w:r>
          </w:p>
        </w:tc>
      </w:tr>
    </w:tbl>
    <w:p>
      <w:pPr>
        <w:spacing w:after="120"/>
      </w:pPr>
    </w:p>
    <w:p>
      <w:pPr>
        <w:spacing w:before="0" w:after="40" w:line="276" w:lineRule="auto"/>
        <w:ind w:left="720"/>
        <w:jc w:val="left"/>
      </w:pPr>
      <w:r>
        <w:rPr>
          <w:rFonts w:ascii="TH SarabunPSK" w:hAnsi="TH SarabunPSK"/>
          <w:rFonts w:ascii="TH SarabunPSK" w:hAnsi="TH SarabunPSK" w:cs="TH SarabunPSK"/>
          <w:b/>
          <w:i w:val="0"/>
          <w:color w:val="000000"/>
          <w:sz w:val="32"/>
        </w:rPr>
        <w:t>ภาคผนวก ค  ตัวอย่างโครงสร้างตารางผลลัพธ์ BOQ (Output Table Schema)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75569"/>
          <w:bottom w:val="single" w:sz="4" w:space="0" w:color="475569"/>
          <w:left w:val="single" w:sz="4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</w:tblPr>
      <w:tblGrid>
        <w:gridCol w:w="1440"/>
        <w:gridCol w:w="2592"/>
        <w:gridCol w:w="1440"/>
        <w:gridCol w:w="864"/>
        <w:gridCol w:w="1440"/>
        <w:gridCol w:w="1584"/>
      </w:tblGrid>
      <w:tr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Member ID</w:t>
            </w:r>
          </w:p>
        </w:tc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Section</w:t>
            </w:r>
          </w:p>
        </w:tc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Length (mm)</w:t>
            </w:r>
          </w:p>
        </w:tc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Qty</w:t>
            </w:r>
          </w:p>
        </w:tc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Unit Wt</w:t>
              <w:br/>
              <w:t>(kg/m)</w:t>
            </w:r>
          </w:p>
        </w:tc>
        <w:tc>
          <w:tcPr>
            <w:tcW w:type="dxa" w:w="1505"/>
            <w:shd w:fill="1E3A8A" w:val="clear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FFFFFF"/>
                <w:sz w:val="28"/>
              </w:rPr>
              <w:t>Total Wt</w:t>
              <w:br/>
              <w:t>(kg)</w:t>
            </w:r>
          </w:p>
        </w:tc>
      </w:tr>
      <w:tr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B1</w:t>
            </w:r>
          </w:p>
        </w:tc>
        <w:tc>
          <w:tcPr>
            <w:tcW w:type="dxa" w:w="2592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H-300x150x6.5x9</w:t>
            </w:r>
          </w:p>
        </w:tc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6,000</w:t>
            </w:r>
          </w:p>
        </w:tc>
        <w:tc>
          <w:tcPr>
            <w:tcW w:type="dxa" w:w="864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8</w:t>
            </w:r>
          </w:p>
        </w:tc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36.7</w:t>
            </w:r>
          </w:p>
        </w:tc>
        <w:tc>
          <w:tcPr>
            <w:tcW w:type="dxa" w:w="1584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1,761.6</w:t>
            </w:r>
          </w:p>
        </w:tc>
      </w:tr>
      <w:tr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B2</w:t>
            </w:r>
          </w:p>
        </w:tc>
        <w:tc>
          <w:tcPr>
            <w:tcW w:type="dxa" w:w="2592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H-350x175x7x11</w:t>
            </w:r>
          </w:p>
        </w:tc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7,000</w:t>
            </w:r>
          </w:p>
        </w:tc>
        <w:tc>
          <w:tcPr>
            <w:tcW w:type="dxa" w:w="864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4</w:t>
            </w:r>
          </w:p>
        </w:tc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49.6</w:t>
            </w:r>
          </w:p>
        </w:tc>
        <w:tc>
          <w:tcPr>
            <w:tcW w:type="dxa" w:w="1584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1,388.8</w:t>
            </w:r>
          </w:p>
        </w:tc>
      </w:tr>
      <w:tr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C1</w:t>
            </w:r>
          </w:p>
        </w:tc>
        <w:tc>
          <w:tcPr>
            <w:tcW w:type="dxa" w:w="2592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H-300x300x10x15</w:t>
            </w:r>
          </w:p>
        </w:tc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4,500</w:t>
            </w:r>
          </w:p>
        </w:tc>
        <w:tc>
          <w:tcPr>
            <w:tcW w:type="dxa" w:w="864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6</w:t>
            </w:r>
          </w:p>
        </w:tc>
        <w:tc>
          <w:tcPr>
            <w:tcW w:type="dxa" w:w="1440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94.0</w:t>
            </w:r>
          </w:p>
        </w:tc>
        <w:tc>
          <w:tcPr>
            <w:tcW w:type="dxa" w:w="1584"/>
            <w:shd w:fill="F8FAFC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2,538.0</w:t>
            </w:r>
          </w:p>
        </w:tc>
      </w:tr>
      <w:tr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P1</w:t>
            </w:r>
          </w:p>
        </w:tc>
        <w:tc>
          <w:tcPr>
            <w:tcW w:type="dxa" w:w="2592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W12x26</w:t>
            </w:r>
          </w:p>
        </w:tc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6,000</w:t>
            </w:r>
          </w:p>
        </w:tc>
        <w:tc>
          <w:tcPr>
            <w:tcW w:type="dxa" w:w="864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12</w:t>
            </w:r>
          </w:p>
        </w:tc>
        <w:tc>
          <w:tcPr>
            <w:tcW w:type="dxa" w:w="1440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38.7</w:t>
            </w:r>
          </w:p>
        </w:tc>
        <w:tc>
          <w:tcPr>
            <w:tcW w:type="dxa" w:w="1584"/>
            <w:shd w:fill="FFFFFF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 w:val="0"/>
                <w:i w:val="0"/>
                <w:color w:val="000000"/>
                <w:sz w:val="28"/>
              </w:rPr>
              <w:t>2,786.4</w:t>
            </w:r>
          </w:p>
        </w:tc>
      </w:tr>
      <w:tr>
        <w:tc>
          <w:tcPr>
            <w:tcW w:type="dxa" w:w="1440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รวมทั้งสิ้น</w:t>
            </w:r>
          </w:p>
        </w:tc>
        <w:tc>
          <w:tcPr>
            <w:tcW w:type="dxa" w:w="2592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4 รายการ</w:t>
            </w:r>
          </w:p>
        </w:tc>
        <w:tc>
          <w:tcPr>
            <w:tcW w:type="dxa" w:w="1440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–</w:t>
            </w:r>
          </w:p>
        </w:tc>
        <w:tc>
          <w:tcPr>
            <w:tcW w:type="dxa" w:w="864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30</w:t>
            </w:r>
          </w:p>
        </w:tc>
        <w:tc>
          <w:tcPr>
            <w:tcW w:type="dxa" w:w="1440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–</w:t>
            </w:r>
          </w:p>
        </w:tc>
        <w:tc>
          <w:tcPr>
            <w:tcW w:type="dxa" w:w="1584"/>
            <w:shd w:fill="F1F5F9" w:val="clear"/>
            <w:tcMar>
              <w:top w:w="60" w:type="dxa"/>
              <w:bottom w:w="60" w:type="dxa"/>
              <w:left w:w="40" w:type="dxa"/>
              <w:right w:w="4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>
              <w:rPr>
                <w:rFonts w:ascii="TH SarabunPSK" w:hAnsi="TH SarabunPSK"/>
                <w:rFonts w:ascii="TH SarabunPSK" w:hAnsi="TH SarabunPSK" w:cs="TH SarabunPSK"/>
                <w:b/>
                <w:i w:val="0"/>
                <w:color w:val="000000"/>
                <w:sz w:val="28"/>
              </w:rPr>
              <w:t>8,474.8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