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</w:pPr>
      <w:r>
        <w:rPr>
          <w:rFonts w:ascii="Calibri" w:hAnsi="Calibri" w:eastAsia="Calibri"/>
          <w:b/>
          <w:color w:val="0891B2"/>
          <w:sz w:val="18"/>
        </w:rPr>
        <w:t>SKILLREG  •  QA DESKTOP</w:t>
      </w:r>
    </w:p>
    <w:p>
      <w:pPr>
        <w:keepNext/>
        <w:spacing w:after="100"/>
      </w:pPr>
      <w:r>
        <w:rPr>
          <w:rFonts w:ascii="Calibri" w:hAnsi="Calibri" w:eastAsia="Calibri"/>
          <w:b/>
          <w:color w:val="0B1220"/>
          <w:sz w:val="56"/>
        </w:rPr>
        <w:t>Rapport QA</w:t>
      </w:r>
    </w:p>
    <w:p>
      <w:pPr>
        <w:spacing w:after="360"/>
      </w:pPr>
      <w:r>
        <w:rPr>
          <w:rFonts w:ascii="Calibri" w:hAnsi="Calibri" w:eastAsia="Calibri"/>
          <w:b/>
          <w:color w:val="1E4E79"/>
          <w:sz w:val="30"/>
        </w:rPr>
        <w:t>Parcours collaborateur métier — SkillReg Local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VERSION TESTÉE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0B1220"/>
                <w:sz w:val="19"/>
              </w:rPr>
              <w:t>0.3.25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ENVIRONNEMENT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macOS 26.5.1 • Apple Silicon (arm64) • application Tauri native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DATE D’EXÉCUTION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29 juillet 2026 • 14:04–23:22 CEST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PARCOURS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Connexion → Accueil → Catalogue → Détail → Mes skills → Réglages → Compact → Import local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97706"/>
          <w:left w:val="single" w:sz="8" w:space="0" w:color="D97706"/>
          <w:bottom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1950"/>
        <w:gridCol w:w="7410"/>
      </w:tblGrid>
      <w:tr>
        <w:trPr>
          <w:cantSplit/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1"/>
              </w:rPr>
              <w:t>PASS CORRECTIF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  <w:vAlign w:val="center"/>
          </w:tcPr>
          <w:p>
            <w:r>
              <w:rPr>
                <w:rFonts w:ascii="Calibri" w:hAnsi="Calibri" w:eastAsia="Calibri"/>
                <w:b/>
                <w:color w:val="0B1220"/>
                <w:sz w:val="21"/>
              </w:rPr>
              <w:t>Dashboard utilisable à 900×600 et import local public validé sur macOS arm64.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E79"/>
                <w:sz w:val="38"/>
              </w:rPr>
              <w:t>192 tests automatisés réussis</w:t>
            </w:r>
            <w:r>
              <w:br/>
            </w:r>
            <w:r>
              <w:rPr>
                <w:rFonts w:ascii="Calibri" w:hAnsi="Calibri" w:eastAsia="Calibri"/>
                <w:b w:val="0"/>
                <w:color w:val="475569"/>
                <w:sz w:val="17"/>
              </w:rPr>
              <w:t/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E79"/>
                <w:sz w:val="38"/>
              </w:rPr>
              <w:t>10 étapes documentées</w:t>
            </w:r>
            <w:r>
              <w:br/>
            </w:r>
            <w:r>
              <w:rPr>
                <w:rFonts w:ascii="Calibri" w:hAnsi="Calibri" w:eastAsia="Calibri"/>
                <w:b w:val="0"/>
                <w:color w:val="475569"/>
                <w:sz w:val="17"/>
              </w:rPr>
              <w:t/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E79"/>
                <w:sz w:val="38"/>
              </w:rPr>
              <w:t>47 skills • 141 bindings</w:t>
            </w:r>
            <w:r>
              <w:br/>
            </w:r>
            <w:r>
              <w:rPr>
                <w:rFonts w:ascii="Calibri" w:hAnsi="Calibri" w:eastAsia="Calibri"/>
                <w:b w:val="0"/>
                <w:color w:val="475569"/>
                <w:sz w:val="17"/>
              </w:rPr>
              <w:t/>
            </w:r>
          </w:p>
        </w:tc>
      </w:tr>
    </w:tbl>
    <w:p/>
    <w:p>
      <w:pPr>
        <w:spacing w:before="80"/>
      </w:pPr>
      <w:r>
        <w:t>Conclusion en une phrase. Le parcours métier masque les choix de version, de périmètre et de cible ; le défaut responsive à 900×600 est corrigé et 47 skills locales sont désormais centralisées sans publication.</w:t>
      </w:r>
    </w:p>
    <w:p>
      <w:r>
        <w:br w:type="page"/>
      </w:r>
    </w:p>
    <w:p>
      <w:pPr>
        <w:pStyle w:val="Heading1"/>
      </w:pPr>
      <w:r>
        <w:t>Synthèse de la campagne</w:t>
      </w:r>
    </w:p>
    <w:p>
      <w:pPr>
        <w:pStyle w:val="Heading2"/>
      </w:pPr>
      <w:r>
        <w:t>Objectif</w:t>
      </w:r>
    </w:p>
    <w:p>
      <w:r>
        <w:t>Vérifier que le collaborateur métier peut comprendre l’état de SkillReg, découvrir un outil approuvé et atteindre l’action d’installation sans choisir un agent, un périmètre, une version ou un chemin local.</w:t>
      </w:r>
    </w:p>
    <w:p>
      <w:pPr>
        <w:pStyle w:val="Heading2"/>
      </w:pPr>
      <w:r>
        <w:t>Périmètre manuel</w:t>
      </w:r>
    </w:p>
    <w:p>
      <w:pPr>
        <w:pStyle w:val="ListBullet"/>
      </w:pPr>
      <w:r>
        <w:t>Application macOS Tauri réelle, organisation Kairia, trois assistants détectés.</w:t>
      </w:r>
    </w:p>
    <w:p>
      <w:pPr>
        <w:pStyle w:val="ListBullet"/>
      </w:pPr>
      <w:r>
        <w:t>Navigation et états en lecture seule à 1200×800, puis contrôle responsive à 900×600.</w:t>
      </w:r>
    </w:p>
    <w:p>
      <w:pPr>
        <w:pStyle w:val="ListBullet"/>
      </w:pPr>
      <w:r>
        <w:t>Bascule locale explicitement autorisée : aperçu en lecture seule, import transactionnel et vérification du dashboard final.</w:t>
      </w:r>
    </w:p>
    <w:p>
      <w:pPr>
        <w:pStyle w:val="ListBullet"/>
      </w:pPr>
      <w:r>
        <w:t>Le cycle catalogue distant install → update → uninstall reste à rejouer dans un compte de recette isolé ; il ne bloque pas la validation de l’import local.</w:t>
      </w:r>
    </w:p>
    <w:p>
      <w:pPr>
        <w:pStyle w:val="Heading2"/>
      </w:pPr>
      <w:r>
        <w:t>Résultats automatisés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900"/>
        <w:gridCol w:w="1260"/>
        <w:gridCol w:w="5200"/>
      </w:tblGrid>
      <w:tr>
        <w:trPr>
          <w:cantSplit/>
          <w:tblHeader w:val="true"/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COMMANDE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STATUT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RÉSULTAT</w:t>
            </w:r>
          </w:p>
        </w:tc>
      </w:tr>
      <w:tr>
        <w:tc>
          <w:tcPr>
            <w:tcW w:type="dxa" w:w="29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8"/>
              </w:rPr>
              <w:t>pnpm test</w:t>
            </w:r>
          </w:p>
        </w:tc>
        <w:tc>
          <w:tcPr>
            <w:tcW w:type="dxa" w:w="12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52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6 tests Node + 56 tests frontend, 0 échec</w:t>
            </w:r>
          </w:p>
        </w:tc>
      </w:tr>
      <w:tr>
        <w:tc>
          <w:tcPr>
            <w:tcW w:type="dxa" w:w="29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8"/>
              </w:rPr>
              <w:t>cargo test</w:t>
            </w:r>
          </w:p>
        </w:tc>
        <w:tc>
          <w:tcPr>
            <w:tcW w:type="dxa" w:w="12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52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130 tests Rust, 0 échec</w:t>
            </w:r>
          </w:p>
        </w:tc>
      </w:tr>
      <w:tr>
        <w:tc>
          <w:tcPr>
            <w:tcW w:type="dxa" w:w="29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8"/>
              </w:rPr>
              <w:t>pnpm format:check</w:t>
            </w:r>
          </w:p>
        </w:tc>
        <w:tc>
          <w:tcPr>
            <w:tcW w:type="dxa" w:w="12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52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80 fichiers contrôlés, aucune correction</w:t>
            </w:r>
          </w:p>
        </w:tc>
      </w:tr>
      <w:tr>
        <w:tc>
          <w:tcPr>
            <w:tcW w:type="dxa" w:w="29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8"/>
              </w:rPr>
              <w:t>pnpm build</w:t>
            </w:r>
          </w:p>
        </w:tc>
        <w:tc>
          <w:tcPr>
            <w:tcW w:type="dxa" w:w="12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8"/>
              </w:rPr>
              <w:t>PASS*</w:t>
            </w:r>
          </w:p>
        </w:tc>
        <w:tc>
          <w:tcPr>
            <w:tcW w:type="dxa" w:w="52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TypeScript + Vite réussis ; avertissement chunk JS à 528,04 kB</w:t>
            </w:r>
          </w:p>
        </w:tc>
      </w:tr>
      <w:tr>
        <w:tc>
          <w:tcPr>
            <w:tcW w:type="dxa" w:w="29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8"/>
              </w:rPr>
              <w:t>cargo check</w:t>
            </w:r>
          </w:p>
        </w:tc>
        <w:tc>
          <w:tcPr>
            <w:tcW w:type="dxa" w:w="12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520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Profil dev compilé sans erreur</w:t>
            </w:r>
          </w:p>
        </w:tc>
      </w:tr>
    </w:tbl>
    <w:p>
      <w:pPr>
        <w:spacing w:before="140"/>
      </w:pPr>
      <w:r>
        <w:t>* Surveillance technique : le bundle principal atteint 528,04 kB après minification ; l’avertissement Vite reste non bloquant pour la QA fonctionnelle.</w:t>
      </w:r>
    </w:p>
    <w:p>
      <w:pPr>
        <w:pStyle w:val="Heading2"/>
      </w:pPr>
      <w:r>
        <w:t>Verdict global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15803D"/>
          <w:left w:val="single" w:sz="8" w:space="0" w:color="15803D"/>
          <w:bottom w:val="single" w:sz="8" w:space="0" w:color="15803D"/>
          <w:right w:val="single" w:sz="8" w:space="0" w:color="15803D"/>
          <w:insideH w:val="single" w:sz="8" w:space="0" w:color="15803D"/>
          <w:insideV w:val="single" w:sz="8" w:space="0" w:color="15803D"/>
        </w:tblBorders>
      </w:tblPr>
      <w:tblGrid>
        <w:gridCol w:w="1950"/>
        <w:gridCol w:w="7410"/>
      </w:tblGrid>
      <w:tr>
        <w:trPr>
          <w:cantSplit/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15803D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1"/>
              </w:rPr>
              <w:t>GO DOGFOOD MACOS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  <w:vAlign w:val="center"/>
          </w:tcPr>
          <w:p>
            <w:r>
              <w:rPr>
                <w:rFonts w:ascii="Calibri" w:hAnsi="Calibri" w:eastAsia="Calibri"/>
                <w:b/>
                <w:color w:val="0B1220"/>
                <w:sz w:val="21"/>
              </w:rPr>
              <w:t>Le blocage responsive est levé et le package arm64 non signé est généré. La diffusion générale reste soumise à la signature et à la matrice cross-platform.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01</w:t>
      </w:r>
    </w:p>
    <w:p>
      <w:pPr>
        <w:pStyle w:val="Heading1"/>
        <w:keepNext/>
      </w:pPr>
      <w:r>
        <w:t>Connexion</w:t>
      </w:r>
    </w:p>
    <w:p>
      <w:pPr>
        <w:keepNext/>
        <w:spacing w:after="160"/>
      </w:pPr>
      <w:r>
        <w:t>Vérifier que l’entrée dans le produit propose une action principale unique et garde la connexion technique en second niveau.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18269"/>
            <wp:docPr id="1" name="Picture 1" title="Étape 01 — Connexion" descr="Écran de connexion natif : une action principale et un accès avancé secondai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1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rPr>
          <w:rFonts w:ascii="Calibri" w:hAnsi="Calibri" w:eastAsia="Calibri"/>
          <w:b w:val="0"/>
          <w:color w:val="475569"/>
          <w:sz w:val="17"/>
        </w:rPr>
        <w:t>Figure 1 — Écran de connexion natif : une action principale et un accès avancé secondaire.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— hiérarchie claire pour une cible non technique.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Le bénéfice est formulé avant l’action ; aucun agent, chemin, périmètre ou numéro de version n’est demandé.</w:t>
              <w:br/>
              <w:t>Limite : l’autorisation externe n’a pas été poursuivie pendant cette campagne afin de ne pas modifier le compte réel.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02</w:t>
      </w:r>
    </w:p>
    <w:p>
      <w:pPr>
        <w:pStyle w:val="Heading1"/>
        <w:keepNext/>
      </w:pPr>
      <w:r>
        <w:t>Accueil et mises à jour</w:t>
      </w:r>
    </w:p>
    <w:p>
      <w:pPr>
        <w:keepNext/>
        <w:spacing w:after="160"/>
      </w:pPr>
      <w:r>
        <w:t>Vérifier que l’utilisateur comprend immédiatement l’état de ses assistants et contrôle les mises à jour automatiques.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2" name="Picture 2" title="Étape 02 — Accueil et mises à jour" descr="Dashboard à 1200×800 : assistants détectés, état global et interrupteur de mises à j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sa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rPr>
          <w:rFonts w:ascii="Calibri" w:hAnsi="Calibri" w:eastAsia="Calibri"/>
          <w:b w:val="0"/>
          <w:color w:val="475569"/>
          <w:sz w:val="17"/>
        </w:rPr>
        <w:t>Figure 2 — Dashboard à 1200×800 : assistants détectés, état global et interrupteur de mises à jour.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à 1200×800 — la décision principale est visible.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Trois assistants sont détectés sans configuration. L’interrupteur « Maintenir mes skills à jour » est très visible et explique son effet.</w:t>
              <w:br/>
              <w:t>À conserver : ne pas déplacer le choix de version, de scope ou de cible dans cette vue utilisateur.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03</w:t>
      </w:r>
    </w:p>
    <w:p>
      <w:pPr>
        <w:pStyle w:val="Heading1"/>
        <w:keepNext/>
      </w:pPr>
      <w:r>
        <w:t>Catalogue</w:t>
      </w:r>
    </w:p>
    <w:p>
      <w:pPr>
        <w:keepNext/>
        <w:spacing w:after="160"/>
      </w:pPr>
      <w:r>
        <w:t>Vérifier qu’un collaborateur peut parcourir les outils approuvés et lancer l’installation sans paramétrage technique.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3" name="Picture 3" title="Étape 03 — Catalogue" descr="Catalogue : recherche orientée intention et bouton « Installer » unique sur chaque fich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rPr>
          <w:rFonts w:ascii="Calibri" w:hAnsi="Calibri" w:eastAsia="Calibri"/>
          <w:b w:val="0"/>
          <w:color w:val="475569"/>
          <w:sz w:val="17"/>
        </w:rPr>
        <w:t>Figure 3 — Catalogue : recherche orientée intention et bouton « Installer » unique sur chaque fiche.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fonctionnel — une seule action par skill.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La recherche demande ce que l’utilisateur souhaite accomplir. L’organisation et l’approbation sont visibles sans exposer de version.</w:t>
              <w:br/>
              <w:t>QA-UX-03 : les descriptions répétées et le mot « capability » n’expliquent pas la valeur métier propre à chaque skill.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04</w:t>
      </w:r>
    </w:p>
    <w:p>
      <w:pPr>
        <w:pStyle w:val="Heading1"/>
        <w:keepNext/>
      </w:pPr>
      <w:r>
        <w:t>Détail d’un skill</w:t>
      </w:r>
    </w:p>
    <w:p>
      <w:pPr>
        <w:keepNext/>
        <w:spacing w:after="160"/>
      </w:pPr>
      <w:r>
        <w:t>Vérifier que la fiche explique l’usage, les assistants disponibles et les éventuels accès sans rendre ces choix configurables.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4" name="Picture 4" title="Étape 04 — Détail d’un skill" descr="Fiche kairia-presentations : bénéfice, exemples, assistants détectés et action d’instal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kill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rPr>
          <w:rFonts w:ascii="Calibri" w:hAnsi="Calibri" w:eastAsia="Calibri"/>
          <w:b w:val="0"/>
          <w:color w:val="475569"/>
          <w:sz w:val="17"/>
        </w:rPr>
        <w:t>Figure 4 — Fiche kairia-presentations : bénéfice, exemples, assistants détectés et action d’installation.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UX, avec ambiguïté de confiance à corriger.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Claude, Codex et Cursor sont affichés comme disponibilité en lecture seule. Les accès restent locaux et sont annoncés après installation.</w:t>
              <w:br/>
              <w:t>QA-UX-02 : « Non vérifiée » contredit visuellement « Approuvée par votre entreprise ». Les exemples restent trop génériques.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05</w:t>
      </w:r>
    </w:p>
    <w:p>
      <w:pPr>
        <w:pStyle w:val="Heading1"/>
        <w:keepNext/>
      </w:pPr>
      <w:r>
        <w:t>Mes skills — état vide</w:t>
      </w:r>
    </w:p>
    <w:p>
      <w:pPr>
        <w:keepNext/>
        <w:spacing w:after="160"/>
      </w:pPr>
      <w:r>
        <w:t>Vérifier que l’état vide confirme le modèle centralisé et guide l’utilisateur vers la prochaine action.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5" name="Picture 5" title="Étape 05 — Mes skills — état vide" descr="État vide : une ligne par skill, indépendamment du nombre d’assistants connecté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y-skills-saf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rPr>
          <w:rFonts w:ascii="Calibri" w:hAnsi="Calibri" w:eastAsia="Calibri"/>
          <w:b w:val="0"/>
          <w:color w:val="475569"/>
          <w:sz w:val="17"/>
        </w:rPr>
        <w:t>Figure 5 — État vide : une ligne par skill, indépendamment du nombre d’assistants connectés.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— modèle mental centralisé explicite.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L’utilisateur voit « une ligne par skill » et un CTA unique vers le catalogue. Aucun détail de symlink ou de répertoire n’est exposé.</w:t>
              <w:br/>
              <w:t>Le terme « capability » réapparaît dans l’aide et devrait être remplacé par un mot métier cohérent.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06</w:t>
      </w:r>
    </w:p>
    <w:p>
      <w:pPr>
        <w:pStyle w:val="Heading1"/>
        <w:keepNext/>
      </w:pPr>
      <w:r>
        <w:t>Réglages</w:t>
      </w:r>
    </w:p>
    <w:p>
      <w:pPr>
        <w:keepNext/>
        <w:spacing w:after="160"/>
      </w:pPr>
      <w:r>
        <w:t>Vérifier que les options techniques restent regroupées et séparées du parcours quotidien.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61765"/>
            <wp:docPr id="6" name="Picture 6" title="Étape 06 — Réglages" descr="Réglages non sensibles : démarrage, fréquence de vérification et accès aux outils avancé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-saf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rPr>
          <w:rFonts w:ascii="Calibri" w:hAnsi="Calibri" w:eastAsia="Calibri"/>
          <w:b w:val="0"/>
          <w:color w:val="475569"/>
          <w:sz w:val="17"/>
        </w:rPr>
        <w:t>Figure 6 — Réglages non sensibles : démarrage, fréquence de vérification et accès aux outils avancés.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— les options avancées sont reléguées au bon endroit.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La fréquence, les commandes et les variables sont dans une section « Avancé ». Le texte rappelle que l’interrupteur principal vit sur l’accueil.</w:t>
              <w:br/>
              <w:t>La sauvegarde reste explicite ; aucun changement n’a été effectué pendant la QA.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07</w:t>
      </w:r>
    </w:p>
    <w:p>
      <w:pPr>
        <w:pStyle w:val="Heading1"/>
        <w:keepNext/>
      </w:pPr>
      <w:r>
        <w:t>Affichage compact — 900×600</w:t>
      </w:r>
    </w:p>
    <w:p>
      <w:pPr>
        <w:keepNext/>
        <w:spacing w:after="160"/>
      </w:pPr>
      <w:r>
        <w:t>Vérifier que le parcours reste utilisable quand la fenêtre est réduite à une taille réaliste sur un petit écran.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7" name="Picture 7" descr="Dashboard SkillReg corrigé à 900 par 600 pixels avec interrupteur et action visib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reg-dashboard-fixed-900x6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t>Figure 7 — Dashboard corrigé à 900×600 : statut, interrupteur et action manuelle restent entièrement visibles.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>
              <w:rPr>
                <w:color w:val="15803D"/>
              </w:rPr>
            </w:r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color w:val="15803D"/>
              </w:rPr>
            </w:r>
            <w:r>
              <w:rPr>
                <w:rFonts w:ascii="Calibri" w:hAnsi="Calibri" w:eastAsia="Calibri"/>
                <w:b/>
                <w:color w:val="15803D"/>
                <w:sz w:val="19"/>
              </w:rPr>
              <w:t>PASS — aucun débordement horizontal à la largeur minimale.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La sidebar reste fixe, le contenu se réduit et les contrôles se replient dans la largeur disponible. QA-UX-01 est fermé.</w:t>
              <w:br/>
              <w:t/>
            </w:r>
          </w:p>
        </w:tc>
      </w:tr>
    </w:tbl>
    <w:p>
      <w:r>
        <w:br w:type="page"/>
      </w:r>
    </w:p>
    <w:p>
      <w:pPr>
        <w:pStyle w:val="Heading1"/>
      </w:pPr>
      <w:r>
        <w:t>Anomalies et décision de diffusion</w:t>
      </w:r>
    </w:p>
    <w:p>
      <w:pPr>
        <w:pStyle w:val="Heading2"/>
      </w:pPr>
      <w:r>
        <w:t>Anomalies classées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20"/>
        <w:gridCol w:w="1260"/>
        <w:gridCol w:w="3920"/>
        <w:gridCol w:w="3060"/>
      </w:tblGrid>
      <w:tr>
        <w:trPr>
          <w:cantSplit/>
          <w:tblHeader w:val="true"/>
          <w:tblHeader w:val="true"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5"/>
              </w:rPr>
              <w:t>ID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5"/>
              </w:rPr>
              <w:t>NIVEAU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5"/>
              </w:rPr>
              <w:t>CONSTAT / IMPACT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5"/>
              </w:rPr>
              <w:t>CRITÈRE D’ACCEPTATION</w:t>
            </w:r>
          </w:p>
        </w:tc>
      </w:tr>
      <w:tr>
        <w:tc>
          <w:tcPr>
            <w:tcW w:type="dxa" w:w="1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6"/>
              </w:rPr>
              <w:t>QA-UX-01 — CORRIGÉ</w:t>
            </w:r>
          </w:p>
        </w:tc>
        <w:tc>
          <w:tcPr>
            <w:tcW w:type="dxa" w:w="1260"/>
            <w:shd w:fill="FEF3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B42318"/>
                <w:sz w:val="16"/>
              </w:rPr>
              <w:t>RÉSOLU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Le dashboard se réduit à 900×600 sans masquer l’interrupteur ni les actions.</w:t>
            </w:r>
          </w:p>
        </w:tc>
        <w:tc>
          <w:tcPr>
            <w:tcW w:type="dxa" w:w="30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PASS — contrôle natif et test de régression.</w:t>
            </w:r>
          </w:p>
        </w:tc>
      </w:tr>
      <w:tr>
        <w:tc>
          <w:tcPr>
            <w:tcW w:type="dxa" w:w="1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6"/>
              </w:rPr>
              <w:t>QA-UX-02</w:t>
            </w:r>
          </w:p>
        </w:tc>
        <w:tc>
          <w:tcPr>
            <w:tcW w:type="dxa" w:w="1260"/>
            <w:shd w:fill="FFF4E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D97706"/>
                <w:sz w:val="16"/>
              </w:rPr>
              <w:t>MOYEN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Le détail juxtapose « Approuvée par votre entreprise » et « Non vérifiée ». Le collaborateur ne sait plus quel signal croire.</w:t>
            </w:r>
          </w:p>
        </w:tc>
        <w:tc>
          <w:tcPr>
            <w:tcW w:type="dxa" w:w="30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Un seul statut de confiance ou une distinction explicitement expliquée en langage métier.</w:t>
            </w:r>
          </w:p>
        </w:tc>
      </w:tr>
      <w:tr>
        <w:tc>
          <w:tcPr>
            <w:tcW w:type="dxa" w:w="1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6"/>
              </w:rPr>
              <w:t>QA-UX-03</w:t>
            </w:r>
          </w:p>
        </w:tc>
        <w:tc>
          <w:tcPr>
            <w:tcW w:type="dxa" w:w="1260"/>
            <w:shd w:fill="FFF4E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D97706"/>
                <w:sz w:val="16"/>
              </w:rPr>
              <w:t>MOYEN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Descriptions et exemples génériques (« capability », « obtenir ce résultat »). La valeur métier de chaque skill reste abstraite.</w:t>
            </w:r>
          </w:p>
        </w:tc>
        <w:tc>
          <w:tcPr>
            <w:tcW w:type="dxa" w:w="30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Chaque fiche décrit le résultat, donne deux demandes réelles et n’affiche plus le terme « capability ».</w:t>
            </w:r>
          </w:p>
        </w:tc>
      </w:tr>
      <w:tr>
        <w:tc>
          <w:tcPr>
            <w:tcW w:type="dxa" w:w="1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E4E79"/>
                <w:sz w:val="16"/>
              </w:rPr>
              <w:t>QA-UX-04</w:t>
            </w:r>
          </w:p>
        </w:tc>
        <w:tc>
          <w:tcPr>
            <w:tcW w:type="dxa" w:w="1260"/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6"/>
              </w:rPr>
              <w:t>FAIBLE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Le libellé « SkillReg » de la barre de titre est presque noir sur bleu nuit, donc difficile à lire.</w:t>
            </w:r>
          </w:p>
        </w:tc>
        <w:tc>
          <w:tcPr>
            <w:tcW w:type="dxa" w:w="30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6"/>
              </w:rPr>
              <w:t>Contraste texte/fond ≥ 4,5:1 dans la barre de titre sur toutes les vues.</w:t>
            </w:r>
          </w:p>
        </w:tc>
      </w:tr>
    </w:tbl>
    <w:p>
      <w:pPr>
        <w:pStyle w:val="Heading2"/>
      </w:pPr>
      <w:r>
        <w:t>Recommandation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97706"/>
          <w:left w:val="single" w:sz="8" w:space="0" w:color="D97706"/>
          <w:bottom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1950"/>
        <w:gridCol w:w="7410"/>
      </w:tblGrid>
      <w:tr>
        <w:trPr>
          <w:cantSplit/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1"/>
              </w:rPr>
              <w:t>GO DOGFOOD MACOS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  <w:vAlign w:val="center"/>
          </w:tcPr>
          <w:p>
            <w:r>
              <w:rPr>
                <w:rFonts w:ascii="Calibri" w:hAnsi="Calibri" w:eastAsia="Calibri"/>
                <w:b/>
                <w:color w:val="0B1220"/>
                <w:sz w:val="21"/>
              </w:rPr>
              <w:t>QA-UX-01 fermé, migration locale réelle réussie. Signature et matrice cross-platform restent requises avant diffusion générale.</w:t>
            </w:r>
          </w:p>
        </w:tc>
      </w:tr>
    </w:tbl>
    <w:p>
      <w:pPr>
        <w:spacing w:after="0"/>
      </w:pPr>
    </w:p>
    <w:p>
      <w:pPr>
        <w:pStyle w:val="ListNumber"/>
      </w:pPr>
      <w:r>
        <w:t>Terminé — grille responsive corrigée, test automatisé ajouté et contrôle natif à 900×600.</w:t>
      </w:r>
    </w:p>
    <w:p>
      <w:pPr>
        <w:pStyle w:val="ListNumber"/>
      </w:pPr>
      <w:r>
        <w:t>Unifier les statuts « approuvée » / « vérifiée » dans le catalogue et le détail.</w:t>
      </w:r>
    </w:p>
    <w:p>
      <w:pPr>
        <w:pStyle w:val="ListNumber"/>
      </w:pPr>
      <w:r>
        <w:t>Remplacer les textes génériques par des bénéfices et exemples propres à chaque skill.</w:t>
      </w:r>
    </w:p>
    <w:p>
      <w:pPr>
        <w:pStyle w:val="ListNumber"/>
      </w:pPr>
      <w:r>
        <w:t>À faire — rejouer install → mise à jour → désinstallation depuis le catalogue sur un compte de recette ; l’import local réel est validé.</w:t>
      </w:r>
    </w:p>
    <w:p>
      <w:pPr>
        <w:pStyle w:val="ListNumber"/>
      </w:pPr>
      <w:r>
        <w:t>Compléter la matrice Windows/Linux et un passage clavier + VoiceOver avant signature de release.</w:t>
      </w:r>
    </w:p>
    <w:p>
      <w:pPr>
        <w:pStyle w:val="Heading2"/>
      </w:pPr>
      <w:r>
        <w:t>Décision produit</w:t>
      </w:r>
    </w:p>
    <w:p>
      <w:r>
        <w:t>Le principe et son implémentation locale sont validés : aucune cible, version ou portée à choisir ; une copie canonique alimente les trois assistants. Le dogfood macOS peut continuer. La diffusion générale reste conditionnée par la signature et les validations Windows/Linux.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08</w:t>
      </w:r>
    </w:p>
    <w:p>
      <w:pPr>
        <w:pStyle w:val="Heading1"/>
      </w:pPr>
      <w:r>
        <w:t>Option publique et aperçu local</w:t>
      </w:r>
    </w:p>
    <w:p>
      <w:r>
        <w:t>Vérifier que tout utilisateur connecté peut découvrir ses dossiers existants sans choisir d’assistant, de périmètre, de chemin ou de version.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ACCÈS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0B1220"/>
                <w:sz w:val="19"/>
              </w:rPr>
              <w:t>Réglages • visible après connexion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APERÇU INITIAL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42 skills importables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CONFLITS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PROTECTION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1 lien externe laissé intact • aucun envoi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8" name="Picture 8" descr="Aperçu de 42 skills locales importables et lien externe laissé inchangé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reg-settings-import-preview-900x6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t>Figure 8 — Aperçu initial : 42 skills reconnues, zéro conflit et un lien externe protégé.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— l’option est publique dans l’application connectée.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Le langage décrit le résultat et la confidentialité. Aucun contenu n’est envoyé ni publié.</w:t>
              <w:br/>
              <w:t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09</w:t>
      </w:r>
    </w:p>
    <w:p>
      <w:pPr>
        <w:pStyle w:val="Heading1"/>
      </w:pPr>
      <w:r>
        <w:t>Bascule locale transactionnelle</w:t>
      </w:r>
    </w:p>
    <w:p>
      <w:r>
        <w:t>Confirmer l’import réel, vérifier que les formats historiques restent compatibles et que les éléments non gérés ne sont jamais écrasés.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9" name="Picture 9" descr="État final de l’import local, aucune skill restante et lien externe inchangé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reg-settings-final-import-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t>Figure 9 — Fin de bascule : aucune skill valide restante ; le lien externe reste intact.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SKILLS CENTRALISÉES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0B1220"/>
                <w:sz w:val="19"/>
              </w:rPr>
              <w:t>47 • statut ready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BINDINGS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141 • Claude, Codex et Cursor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ERREURS / CONFLITS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ÉLÉMENTS INCHANGÉS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9"/>
              </w:rPr>
              <w:t>decktype externe, dossier vide et fichiers isolés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— bascule réelle complète pour toutes les skills valides.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Les descriptions YAML multilignes et les anciens noms d’affichage sont acceptés sans réécriture du contenu.</w:t>
              <w:br/>
              <w:t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 w:eastAsia="Calibri"/>
          <w:b/>
          <w:color w:val="0891B2"/>
          <w:sz w:val="17"/>
        </w:rPr>
        <w:t>ÉTAPE 10</w:t>
      </w:r>
    </w:p>
    <w:p>
      <w:pPr>
        <w:pStyle w:val="Heading1"/>
      </w:pPr>
      <w:r>
        <w:t>Dashboard final</w:t>
      </w:r>
    </w:p>
    <w:p>
      <w:r>
        <w:t>Vérifier que la centralisation est immédiatement visible et que le contrôle des mises à jour reste accessible à la largeur minimale.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0" name="Picture 10" descr="Dashboard SkillReg final à 900 par 600 pixels affichant 47 skills installé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reg-dashboard-after-import-top-900x6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40"/>
        <w:jc w:val="center"/>
      </w:pPr>
      <w:r>
        <w:t>Figure 10 — Dashboard final à 900×600 : 47 skills installées et trois assistants connectés.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CFDF3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7"/>
              </w:rPr>
              <w:t>VERDICT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15803D"/>
                <w:sz w:val="19"/>
              </w:rPr>
              <w:t>PASS — visualisation centralisée et actions accessibles.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475569"/>
                <w:sz w:val="17"/>
              </w:rPr>
              <w:t>OBSERVATION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0B1220"/>
                <w:sz w:val="18"/>
              </w:rPr>
              <w:t>Les skills locales apparaissent une fois dans le dashboard. Les mises à jour distantes ignorent explicitement leur origine locale.</w:t>
              <w:br/>
              <w:t/>
            </w:r>
          </w:p>
        </w:tc>
      </w:tr>
    </w:tbl>
    <w:p>
      <w:pPr>
        <w:pStyle w:val="Heading2"/>
      </w:pPr>
      <w:r>
        <w:t>Décision mise à jour</w:t>
      </w:r>
    </w:p>
    <w:p>
      <w:r>
        <w:t>Le correctif est prêt pour le dogfood macOS et embarqué dans un package arm64 non signé. Aucune publication de skill n’a été effectuée. La release publique du binaire reste soumise à la signature, à la notarisation et aux validations Windows/Linux.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200"/>
      <w:gridCol w:w="2160"/>
    </w:tblGrid>
    <w:tr>
      <w:trPr>
        <w:cantSplit/>
        <w:tblHeader w:val="true"/>
      </w:trPr>
      <w:tc>
        <w:tcPr>
          <w:tcW w:type="dxa" w:w="720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 w:before="0"/>
          </w:pPr>
          <w:r/>
          <w:r>
            <w:rPr>
              <w:rFonts w:ascii="Calibri" w:hAnsi="Calibri" w:eastAsia="Calibri"/>
              <w:b w:val="0"/>
              <w:color w:val="475569"/>
              <w:sz w:val="16"/>
            </w:rPr>
            <w:t>Interne • 29 juillet 2026</w:t>
          </w:r>
        </w:p>
      </w:tc>
      <w:tc>
        <w:tcPr>
          <w:tcW w:type="dxa" w:w="21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 w:eastAsia="Calibri"/>
              <w:b w:val="0"/>
              <w:color w:val="475569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1E4E79"/>
        <w:sz w:val="16"/>
      </w:rPr>
      <w:t>SKILLREG</w:t>
    </w:r>
    <w:r>
      <w:rPr>
        <w:rFonts w:ascii="Calibri" w:hAnsi="Calibri" w:eastAsia="Calibri"/>
        <w:b w:val="0"/>
        <w:color w:val="475569"/>
        <w:sz w:val="16"/>
      </w:rPr>
      <w:t xml:space="preserve">  /  RAPPORT QA DESKTOP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300"/>
    </w:pPr>
    <w:rPr>
      <w:rFonts w:ascii="Calibri" w:hAnsi="Calibri" w:eastAsia="Calibri"/>
      <w:color w:val="0B1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SkillReg Local — Rapport QA corrigé et bascule locale</dc:title>
  <dc:subject>Dashboard compact, import local public et validation macOS arm64</dc:subject>
  <dc:creator>SkillReg QA</dc:creator>
  <cp:keywords>SkillReg, QA, dashboard, import local, Tauri, macOS</cp:keywords>
  <dc:description>Captures natives macOS et résultats de régression du 29 juillet 2026.</dc:description>
  <cp:lastModifiedBy/>
  <cp:revision>1</cp:revision>
  <dcterms:created xsi:type="dcterms:W3CDTF">2026-07-29T14:04:00Z</dcterms:created>
  <dcterms:modified xsi:type="dcterms:W3CDTF">2026-07-29T14:12:00Z</dcterms:modified>
  <cp:category/>
</cp:coreProperties>
</file>