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der Unternehmensstrategie 2020-2024</w:t>
      </w:r>
    </w:p>
    <w:p>
      <w:pPr>
        <w:jc w:val="center"/>
      </w:pPr>
      <w:r>
        <w:t>Vorlage Sitzung vom 14. April 2020; Beschlusserlass 14. April 2020</w:t>
      </w:r>
    </w:p>
    <w:p/>
    <w:p>
      <w:pPr>
        <w:pStyle w:val="Heading3"/>
      </w:pPr>
      <w:r>
        <w:t>Praeambel</w:t>
      </w:r>
    </w:p>
    <w:p>
      <w:r>
        <w:t>Der Beirat der Sentavia Precision GmbH hat in der Sitzung vom 14. April 2020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Die Geschaeftsfuehrung hat eine ueberarbeitete Mehrjahresstrategie 'Precision Growth 2024' vorgelegt. Die Strategie sieht eine Verdoppelung des Umsatzes von 58 auf 116 Mio. EUR bis 2024 vor, durch Markteinfuehrung von Cardevio Pro und Ostevo Navigator unter MDR sowie internationale Expansion in den DACH-, BeNeLux- und Frankreich-Markt. Die geplanten F&amp;E-Investitionen belaufen sich auf rund 38 Mio. EUR ueber die Strategie-Periode.</w:t>
      </w:r>
    </w:p>
    <w:p>
      <w:pPr>
        <w:pStyle w:val="Heading3"/>
      </w:pPr>
      <w:r>
        <w:t>Beschluss</w:t>
      </w:r>
    </w:p>
    <w:p>
      <w:pPr>
        <w:pStyle w:val="Heading4"/>
      </w:pPr>
      <w:r>
        <w:t>§ 1 Beschlussfassung</w:t>
      </w:r>
    </w:p>
    <w:p>
      <w:r>
        <w:rPr>
          <w:b/>
        </w:rPr>
        <w:t xml:space="preserve">(1) </w:t>
      </w:r>
      <w:r>
        <w:t>Der Beirat genehmigt die Strategie 'Precision Growth 2024' in der vorgelegten Fassung. Die Umsetzung erfolgt ab Q3/2020 mit halbjaehrlichen Status-Reviews im Beirat.</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April 2020</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