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Beirats-/Gesellschafterbeschluss – Erteilung Gesamtprokura an Frau Andrea Schneider (Head of Operations)</w:t>
      </w:r>
    </w:p>
    <w:p>
      <w:pPr>
        <w:jc w:val="center"/>
      </w:pPr>
      <w:r>
        <w:t>Vorlage Sitzung vom 12. Mai 2020; Beschlusserlass 12. Mai 2020</w:t>
      </w:r>
    </w:p>
    <w:p/>
    <w:p>
      <w:pPr>
        <w:pStyle w:val="Heading3"/>
      </w:pPr>
      <w:r>
        <w:t>Praeambel</w:t>
      </w:r>
    </w:p>
    <w:p>
      <w:r>
        <w:t>Der Beirat der Sentavia Precision GmbH hat in der Sitzung vom 12. Mai 2020 unter Vorsitz der Beiratsvorsitzenden Frau Dr. Veronika Stankl den nachfolgenden Beschluss gefasst. Anwesend waren neben dem Vorsitz die Beiratsmitglieder Dr. Henrik Vossberg (Sofinnova Partners), Frau Ulrike Senn (Lakestar), Herr Prof. Dr. med. Joerg Lewerenz (CMO-Experte) sowie die Geschaeftsfuehrung (Dr. Katharina Berger CEO, Dr. Marcus Vogt CTO, Thomas Mueller CFO). Die Beschlussfaehigkeit war gegeben.</w:t>
      </w:r>
    </w:p>
    <w:p>
      <w:pPr>
        <w:pStyle w:val="Heading3"/>
      </w:pPr>
      <w:r>
        <w:t>Ausgangslage</w:t>
      </w:r>
    </w:p>
    <w:p>
      <w:r>
        <w:t>Frau Andrea Schneider hat seit 1. Januar 2017 die Funktion 'Head of Operations' bei der Sentavia Precision GmbH inne. Mit Wachstum der Gesellschaft und der zunehmenden internationalen Vertriebsaktivitaet ist die Erteilung einer Prokura zur Entlastung der Geschaeftsfuehrung im operativen Tagesgeschaeft erforderlich.</w:t>
      </w:r>
    </w:p>
    <w:p>
      <w:pPr>
        <w:pStyle w:val="Heading3"/>
      </w:pPr>
      <w:r>
        <w:t>Beschluss</w:t>
      </w:r>
    </w:p>
    <w:p>
      <w:pPr>
        <w:pStyle w:val="Heading4"/>
      </w:pPr>
      <w:r>
        <w:t>§ 1 Beschlussfassung</w:t>
      </w:r>
    </w:p>
    <w:p>
      <w:r>
        <w:rPr>
          <w:b/>
        </w:rPr>
        <w:t xml:space="preserve">(1) </w:t>
      </w:r>
      <w:r>
        <w:t>Frau Andrea Schneider wird mit Wirkung zum 1. Juni 2020 Gesamtprokura gemaess §§ 48 ff. HGB erteilt. Sie vertritt die Gesellschaft gemeinsam mit einem weiteren Prokuristen oder einem Geschaeftsfuehrer. Die Anmeldung zum Handelsregister erfolgt durch Notarin Dr. Hofmann (Muenchen).</w:t>
      </w:r>
    </w:p>
    <w:p>
      <w:r>
        <w:rPr>
          <w:b/>
        </w:rPr>
        <w:t xml:space="preserve">(2) </w:t>
      </w:r>
      <w:r>
        <w:t>Die Geschaeftsfuehrung wird ermaechtigt, alle zur Umsetzung erforderlichen Massnahmen zu treffen. Die Information der Investoren erfolgt gemaess Shareholder Agreement vom 14. Februar 2020 binnen 10 Geschaeftstagen.</w:t>
      </w:r>
    </w:p>
    <w:p>
      <w:pPr>
        <w:pStyle w:val="Heading4"/>
      </w:pPr>
      <w:r>
        <w:t>§ 2 Berichterstattung</w:t>
      </w:r>
    </w:p>
    <w:p>
      <w:r>
        <w:rPr>
          <w:b/>
        </w:rPr>
        <w:t xml:space="preserve">(1) </w:t>
      </w:r>
      <w:r>
        <w:t>Die Geschaeftsfuehrung berichtet dem Beirat zur naechsten ordentlichen Sitzung ueber den Umsetzungsstand. Wesentliche Abweichungen sind unverzueglich anzuzeigen.</w:t>
      </w:r>
    </w:p>
    <w:p>
      <w:pPr>
        <w:pStyle w:val="Heading3"/>
      </w:pPr>
      <w:r>
        <w:t>Abstimmungsergebnis</w:t>
      </w:r>
    </w:p>
    <w:p>
      <w:r>
        <w:t>Abstimmung: einstimmig. Es wurden keine Einwendungen gegen Form und Inhalt erhoben. Das Protokoll wird dem Investoren-Reporting beigefuegt. Der Beschluss ist sofort wirksam.</w:t>
      </w:r>
    </w:p>
    <w:p>
      <w:pPr>
        <w:pStyle w:val="Heading3"/>
      </w:pPr>
      <w:r>
        <w:t>Unterschriften</w:t>
      </w:r>
    </w:p>
    <w:p>
      <w:r>
        <w:t>Ort, Datum: Muenchen, den 12. Mai 2020</w:t>
      </w:r>
    </w:p>
    <w:p>
      <w:r>
        <w:t>_________________________            _________________________</w:t>
        <w:br/>
        <w:t>Dr. Veronika Stankl                          Dr. Katharina Berger</w:t>
        <w:br/>
        <w:t>Beiratsvorsitzende                          CEO</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