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Beirats-/Gesellschafterbeschluss – Genehmigung Mietvertragsverlaengerung Hauptsitz Freimannstrasse 45</w:t>
      </w:r>
    </w:p>
    <w:p>
      <w:pPr>
        <w:jc w:val="center"/>
      </w:pPr>
      <w:r>
        <w:t>Vorlage Sitzung vom 12. Juli 2021; Beschlusserlass 12. Juli 2021</w:t>
      </w:r>
    </w:p>
    <w:p/>
    <w:p>
      <w:pPr>
        <w:pStyle w:val="Heading3"/>
      </w:pPr>
      <w:r>
        <w:t>Praeambel</w:t>
      </w:r>
    </w:p>
    <w:p>
      <w:r>
        <w:t>Der Beirat der Sentavia Precision GmbH hat in der Sitzung vom 12. Juli 2021 unter Vorsitz der Beiratsvorsitzenden Frau Dr. Veronika Stankl den nachfolgenden Beschluss gefasst. Anwesend waren neben dem Vorsitz die Beiratsmitglieder Dr. Henrik Vossberg (Sofinnova Partners), Frau Ulrike Senn (Lakestar), Herr Prof. Dr. med. Joerg Lewerenz (CMO-Experte) sowie die Geschaeftsfuehrung (Dr. Katharina Berger CEO, Dr. Marcus Vogt CTO, Thomas Mueller CFO). Die Beschlussfaehigkeit war gegeben.</w:t>
      </w:r>
    </w:p>
    <w:p>
      <w:pPr>
        <w:pStyle w:val="Heading3"/>
      </w:pPr>
      <w:r>
        <w:t>Ausgangslage</w:t>
      </w:r>
    </w:p>
    <w:p>
      <w:r>
        <w:t>Der bestehende Mietvertrag fuer den Hauptsitz Freimannstrasse 45, Muenchen (Bueroflaeche 2.480 m², Reinraum-Produktionsflaeche 820 m²) laeuft zum 31. Dezember 2022 aus. Im Rahmen einer Vertragsverhandlung hat der Vermieter (Schoerghuber Immobilien GmbH) eine Verlaengerung um 10 Jahre angeboten.</w:t>
      </w:r>
    </w:p>
    <w:p>
      <w:pPr>
        <w:pStyle w:val="Heading3"/>
      </w:pPr>
      <w:r>
        <w:t>Beschluss</w:t>
      </w:r>
    </w:p>
    <w:p>
      <w:pPr>
        <w:pStyle w:val="Heading4"/>
      </w:pPr>
      <w:r>
        <w:t>§ 1 Beschlussfassung</w:t>
      </w:r>
    </w:p>
    <w:p>
      <w:r>
        <w:rPr>
          <w:b/>
        </w:rPr>
        <w:t xml:space="preserve">(1) </w:t>
      </w:r>
      <w:r>
        <w:t>Der Beirat genehmigt die Mietvertragsverlaengerung zu folgenden Konditionen: Laufzeit 10 Jahre (1.1.2023 - 31.12.2032), Monatsmiete 78.500 EUR netto, jaehrliche Indexierung VPI, Modernisierungsklausel bis 5 % Mehrkosten zulaessig. Eine Verlaengerungsoption fuer weitere 5 Jahre wird gewahrt.</w:t>
      </w:r>
    </w:p>
    <w:p>
      <w:r>
        <w:rPr>
          <w:b/>
        </w:rPr>
        <w:t xml:space="preserve">(2) </w:t>
      </w:r>
      <w:r>
        <w:t>Die Geschaeftsfuehrung wird ermaechtigt, alle zur Umsetzung erforderlichen Massnahmen zu treffen. Die Information der Investoren erfolgt gemaess Shareholder Agreement vom 14. Februar 2020 binnen 10 Geschaeftstagen.</w:t>
      </w:r>
    </w:p>
    <w:p>
      <w:pPr>
        <w:pStyle w:val="Heading4"/>
      </w:pPr>
      <w:r>
        <w:t>§ 2 Berichterstattung</w:t>
      </w:r>
    </w:p>
    <w:p>
      <w:r>
        <w:rPr>
          <w:b/>
        </w:rPr>
        <w:t xml:space="preserve">(1) </w:t>
      </w:r>
      <w:r>
        <w:t>Die Geschaeftsfuehrung berichtet dem Beirat zur naechsten ordentlichen Sitzung ueber den Umsetzungsstand. Wesentliche Abweichungen sind unverzueglich anzuzeigen.</w:t>
      </w:r>
    </w:p>
    <w:p>
      <w:pPr>
        <w:pStyle w:val="Heading3"/>
      </w:pPr>
      <w:r>
        <w:t>Abstimmungsergebnis</w:t>
      </w:r>
    </w:p>
    <w:p>
      <w:r>
        <w:t>Abstimmung: einstimmig. Es wurden keine Einwendungen gegen Form und Inhalt erhoben. Das Protokoll wird dem Investoren-Reporting beigefuegt. Der Beschluss ist sofort wirksam.</w:t>
      </w:r>
    </w:p>
    <w:p>
      <w:pPr>
        <w:pStyle w:val="Heading3"/>
      </w:pPr>
      <w:r>
        <w:t>Unterschriften</w:t>
      </w:r>
    </w:p>
    <w:p>
      <w:r>
        <w:t>Ort, Datum: Muenchen, den 12. Juli 2021</w:t>
      </w:r>
    </w:p>
    <w:p>
      <w:r>
        <w:t>_________________________            _________________________</w:t>
        <w:br/>
        <w:t>Dr. Veronika Stankl                          Dr. Katharina Berger</w:t>
        <w:br/>
        <w:t>Beiratsvorsitzende                          CEO</w:t>
        <w:br/>
        <w:t>Sentavia Precision GmbH                       Sentavia Precision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