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Aktienoptionsprogramm (ESOP) 2023</w:t>
      </w:r>
    </w:p>
    <w:p>
      <w:pPr>
        <w:jc w:val="center"/>
      </w:pPr>
      <w:r>
        <w:t>Vorlage Sitzung vom 18. Maerz 2023; Beschlusserlass 18. Maerz 2023</w:t>
      </w:r>
    </w:p>
    <w:p/>
    <w:p>
      <w:pPr>
        <w:pStyle w:val="Heading3"/>
      </w:pPr>
      <w:r>
        <w:t>Praeambel</w:t>
      </w:r>
    </w:p>
    <w:p>
      <w:r>
        <w:t>Der Beirat der Sentavia Precision GmbH hat in der Sitzung vom 18. Maerz 2023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Zur langfristigen Bindung der Schluesselpersonen und der Belegschaft wird ein erweitertes Aktienoptionsprogramm (ESOP) aufgelegt. Volumen: 8 % des Stammkapitals (entspricht 40.000 EUR Nennbetrag). Begueterte Personen: ca. 78 Mitarbeitende und Schluesselpersonen.</w:t>
      </w:r>
    </w:p>
    <w:p>
      <w:pPr>
        <w:pStyle w:val="Heading3"/>
      </w:pPr>
      <w:r>
        <w:t>Beschluss</w:t>
      </w:r>
    </w:p>
    <w:p>
      <w:pPr>
        <w:pStyle w:val="Heading4"/>
      </w:pPr>
      <w:r>
        <w:t>§ 1 Beschlussfassung</w:t>
      </w:r>
    </w:p>
    <w:p>
      <w:r>
        <w:rPr>
          <w:b/>
        </w:rPr>
        <w:t xml:space="preserve">(1) </w:t>
      </w:r>
      <w:r>
        <w:t>Der Beirat genehmigt das ESOP 2023 mit Volumen 8 % des Stammkapitals (Strike Price 1,80x Series-B-Bewertung, Vesting 4 Jahre / 1 Jahr Cliff, Beschleunigungsklausel bei Change-of-Control). Implementierung durch Heuking Kuehn (legal) und Buehlmann Compensation Advisors (Bewertung).</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18. Maerz 2023</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