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Jahresabschluss 2022 (HGB)</w:t>
      </w:r>
    </w:p>
    <w:p>
      <w:pPr>
        <w:jc w:val="center"/>
      </w:pPr>
      <w:r>
        <w:t>Vorlage Sitzung vom 14. April 2023; Beschlusserlass 14. April 2023</w:t>
      </w:r>
    </w:p>
    <w:p/>
    <w:p>
      <w:pPr>
        <w:pStyle w:val="Heading3"/>
      </w:pPr>
      <w:r>
        <w:t>Praeambel</w:t>
      </w:r>
    </w:p>
    <w:p>
      <w:r>
        <w:t>Der Beirat der Sentavia Precision GmbH hat in der Sitzung vom 14. April 2023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Der Jahresabschluss 2022 wurde durch PwC AG WPG geprueft und uneingeschraenkt testiert. Kennzahlen: Umsatz 71,4 Mio. EUR (+23 %); EBITDA 9,8 Mio. EUR; Jahresueberschuss 5,8 Mio. EUR; Bilanzsumme 84,2 Mio. EUR; Eigenkapital 47,8 Mio. EUR (56,8 %); 512 Mitarbeitende.</w:t>
      </w:r>
    </w:p>
    <w:p>
      <w:pPr>
        <w:pStyle w:val="Heading3"/>
      </w:pPr>
      <w:r>
        <w:t>Beschluss</w:t>
      </w:r>
    </w:p>
    <w:p>
      <w:pPr>
        <w:pStyle w:val="Heading4"/>
      </w:pPr>
      <w:r>
        <w:t>§ 1 Beschlussfassung</w:t>
      </w:r>
    </w:p>
    <w:p>
      <w:r>
        <w:rPr>
          <w:b/>
        </w:rPr>
        <w:t xml:space="preserve">(1) </w:t>
      </w:r>
      <w:r>
        <w:t>Der Beirat genehmigt den Jahresabschluss 2022 in der vorgelegten Fassung. Empfehlung zur Vorlage an die Gesellschafterversammlung am 22. Juni 2023. Ergebnisverwendung: 50 % Thesaurierung, 50 % als Dividende. Wiederbestellung PwC fuer Geschaeftsjahr 2023.</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14. April 2023</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