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Aufnahme einer Wachstumsfinanzierung der EIB</w:t>
      </w:r>
    </w:p>
    <w:p>
      <w:pPr>
        <w:jc w:val="center"/>
      </w:pPr>
      <w:r>
        <w:t>Vorlage Sitzung vom 16. Januar 2024; Beschlusserlass 16. Januar 2024</w:t>
      </w:r>
    </w:p>
    <w:p/>
    <w:p>
      <w:pPr>
        <w:pStyle w:val="Heading3"/>
      </w:pPr>
      <w:r>
        <w:t>Praeambel</w:t>
      </w:r>
    </w:p>
    <w:p>
      <w:r>
        <w:t>Der Beirat der Sentavia Precision GmbH hat in der Sitzung vom 16. Januar 2024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Die Europaeische Investitionsbank (EIB) hat eine Wachstumsfinanzierung im Volumen 35 Mio. EUR (Venture Debt) angeboten, die zur Erweiterung der Produktionskapazitaeten (neue Reinraum-Linie Ostevo Navigator) und zur weiteren Internationalisierung (USA-Markteintritt Q3/2025) eingesetzt werden soll. Laufzeit 7 Jahre, Zinssatz EURIBOR 6M + 425 bp, mit Warrants 2 % Equity-Upside.</w:t>
      </w:r>
    </w:p>
    <w:p>
      <w:pPr>
        <w:pStyle w:val="Heading3"/>
      </w:pPr>
      <w:r>
        <w:t>Beschluss</w:t>
      </w:r>
    </w:p>
    <w:p>
      <w:pPr>
        <w:pStyle w:val="Heading4"/>
      </w:pPr>
      <w:r>
        <w:t>§ 1 Beschlussfassung</w:t>
      </w:r>
    </w:p>
    <w:p>
      <w:r>
        <w:rPr>
          <w:b/>
        </w:rPr>
        <w:t xml:space="preserve">(1) </w:t>
      </w:r>
      <w:r>
        <w:t>Der Beirat genehmigt die Aufnahme der EIB-Wachstumsfinanzierung in voller Hoehe. Die Geschaeftsfuehrung wird ermaechtigt, die finale Vertragsverhandlung in Abstimmung mit der Anwaltskanzlei Noerr zu fuehren. Closing Q2/2024.</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16. Januar 2024</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